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920115</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894715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ind w:right="-269"/>
        <w:spacing w:after="0"/>
        <w:rPr>
          <w:sz w:val="20"/>
          <w:szCs w:val="20"/>
          <w:color w:val="auto"/>
        </w:rPr>
      </w:pPr>
      <w:r>
        <w:rPr>
          <w:rFonts w:ascii="Arial" w:cs="Arial" w:eastAsia="Arial" w:hAnsi="Arial"/>
          <w:sz w:val="30"/>
          <w:szCs w:val="30"/>
          <w:color w:val="auto"/>
          <w:highlight w:val="black"/>
        </w:rPr>
        <w:t>UNITED STATES</w:t>
      </w:r>
    </w:p>
    <w:p>
      <w:pPr>
        <w:spacing w:after="0" w:line="96" w:lineRule="exact"/>
        <w:rPr>
          <w:sz w:val="24"/>
          <w:szCs w:val="24"/>
          <w:color w:val="auto"/>
        </w:rPr>
      </w:pPr>
    </w:p>
    <w:p>
      <w:pPr>
        <w:jc w:val="center"/>
        <w:ind w:right="-189"/>
        <w:spacing w:after="0"/>
        <w:rPr>
          <w:sz w:val="20"/>
          <w:szCs w:val="20"/>
          <w:color w:val="auto"/>
        </w:rPr>
      </w:pPr>
      <w:r>
        <w:rPr>
          <w:rFonts w:ascii="Arial" w:cs="Arial" w:eastAsia="Arial" w:hAnsi="Arial"/>
          <w:sz w:val="30"/>
          <w:szCs w:val="30"/>
          <w:color w:val="auto"/>
        </w:rPr>
        <w:t>SECURITIES AND EXCHANGE COMMISSION</w:t>
      </w:r>
    </w:p>
    <w:p>
      <w:pPr>
        <w:spacing w:after="0" w:line="16" w:lineRule="exact"/>
        <w:rPr>
          <w:sz w:val="24"/>
          <w:szCs w:val="24"/>
          <w:color w:val="auto"/>
        </w:rPr>
      </w:pPr>
    </w:p>
    <w:p>
      <w:pPr>
        <w:jc w:val="center"/>
        <w:ind w:right="-189"/>
        <w:spacing w:after="0"/>
        <w:rPr>
          <w:sz w:val="20"/>
          <w:szCs w:val="20"/>
          <w:color w:val="auto"/>
        </w:rPr>
      </w:pPr>
      <w:r>
        <w:rPr>
          <w:rFonts w:ascii="Arial" w:cs="Arial" w:eastAsia="Arial" w:hAnsi="Arial"/>
          <w:sz w:val="19"/>
          <w:szCs w:val="19"/>
          <w:color w:val="auto"/>
          <w:highlight w:val="black"/>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128270</wp:posOffset>
            </wp:positionV>
            <wp:extent cx="276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89"/>
        <w:spacing w:after="0"/>
        <w:rPr>
          <w:sz w:val="20"/>
          <w:szCs w:val="20"/>
          <w:color w:val="auto"/>
        </w:rPr>
      </w:pPr>
      <w:r>
        <w:rPr>
          <w:rFonts w:ascii="Arial" w:cs="Arial" w:eastAsia="Arial" w:hAnsi="Arial"/>
          <w:sz w:val="30"/>
          <w:szCs w:val="30"/>
          <w:color w:val="auto"/>
          <w:highlight w:val="black"/>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122555</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47" w:lineRule="exact"/>
        <w:rPr>
          <w:sz w:val="24"/>
          <w:szCs w:val="24"/>
          <w:color w:val="auto"/>
        </w:rPr>
      </w:pPr>
    </w:p>
    <w:p>
      <w:pPr>
        <w:jc w:val="center"/>
        <w:ind w:right="-189"/>
        <w:spacing w:after="0"/>
        <w:rPr>
          <w:sz w:val="20"/>
          <w:szCs w:val="20"/>
          <w:color w:val="auto"/>
        </w:rPr>
      </w:pPr>
      <w:r>
        <w:rPr>
          <w:rFonts w:ascii="Arial" w:cs="Arial" w:eastAsia="Arial" w:hAnsi="Arial"/>
          <w:sz w:val="19"/>
          <w:szCs w:val="19"/>
          <w:color w:val="auto"/>
          <w:highlight w:val="black"/>
        </w:rPr>
        <w:t>CURRENT REPORT</w:t>
      </w:r>
    </w:p>
    <w:p>
      <w:pPr>
        <w:spacing w:after="0" w:line="119" w:lineRule="exact"/>
        <w:rPr>
          <w:sz w:val="24"/>
          <w:szCs w:val="24"/>
          <w:color w:val="auto"/>
        </w:rPr>
      </w:pPr>
    </w:p>
    <w:p>
      <w:pPr>
        <w:jc w:val="center"/>
        <w:ind w:right="-189"/>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187" w:lineRule="exact"/>
        <w:rPr>
          <w:sz w:val="24"/>
          <w:szCs w:val="24"/>
          <w:color w:val="auto"/>
        </w:rPr>
      </w:pPr>
    </w:p>
    <w:p>
      <w:pPr>
        <w:jc w:val="center"/>
        <w:ind w:right="-189"/>
        <w:spacing w:after="0"/>
        <w:rPr>
          <w:sz w:val="20"/>
          <w:szCs w:val="20"/>
          <w:color w:val="auto"/>
        </w:rPr>
      </w:pPr>
      <w:r>
        <w:rPr>
          <w:rFonts w:ascii="Arial" w:cs="Arial" w:eastAsia="Arial" w:hAnsi="Arial"/>
          <w:sz w:val="16"/>
          <w:szCs w:val="16"/>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116205</wp:posOffset>
            </wp:positionV>
            <wp:extent cx="2768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89"/>
        <w:spacing w:after="0"/>
        <w:rPr>
          <w:sz w:val="20"/>
          <w:szCs w:val="20"/>
          <w:color w:val="auto"/>
        </w:rPr>
      </w:pPr>
      <w:r>
        <w:rPr>
          <w:rFonts w:ascii="Arial" w:cs="Arial" w:eastAsia="Arial" w:hAnsi="Arial"/>
          <w:sz w:val="39"/>
          <w:szCs w:val="39"/>
          <w:color w:val="auto"/>
          <w:highlight w:val="black"/>
        </w:rPr>
        <w:t>Appian Corporation</w:t>
      </w:r>
    </w:p>
    <w:p>
      <w:pPr>
        <w:spacing w:after="0" w:line="16" w:lineRule="exact"/>
        <w:rPr>
          <w:sz w:val="24"/>
          <w:szCs w:val="24"/>
          <w:color w:val="auto"/>
        </w:rPr>
      </w:pPr>
    </w:p>
    <w:p>
      <w:pPr>
        <w:jc w:val="center"/>
        <w:ind w:right="-18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118110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88" w:lineRule="exact"/>
        <w:rPr>
          <w:sz w:val="24"/>
          <w:szCs w:val="24"/>
          <w:color w:val="auto"/>
        </w:rPr>
      </w:pPr>
    </w:p>
    <w:tbl>
      <w:tblPr>
        <w:tblLayout w:type="fixed"/>
        <w:tblInd w:w="1010" w:type="dxa"/>
        <w:tblCellMar>
          <w:top w:w="0" w:type="dxa"/>
          <w:left w:w="0" w:type="dxa"/>
          <w:bottom w:w="0" w:type="dxa"/>
          <w:right w:w="0" w:type="dxa"/>
        </w:tblCellMar>
      </w:tblPr>
      <w:tr>
        <w:trPr>
          <w:trHeight w:val="207"/>
        </w:trPr>
        <w:tc>
          <w:tcPr>
            <w:tcW w:w="3340" w:type="dxa"/>
            <w:vAlign w:val="bottom"/>
          </w:tcPr>
          <w:p>
            <w:pPr>
              <w:jc w:val="center"/>
              <w:ind w:right="801"/>
              <w:spacing w:after="0"/>
              <w:rPr>
                <w:sz w:val="20"/>
                <w:szCs w:val="20"/>
                <w:color w:val="auto"/>
              </w:rPr>
            </w:pPr>
            <w:r>
              <w:rPr>
                <w:rFonts w:ascii="Arial" w:cs="Arial" w:eastAsia="Arial" w:hAnsi="Arial"/>
                <w:sz w:val="18"/>
                <w:szCs w:val="18"/>
                <w:color w:val="auto"/>
                <w:highlight w:val="black"/>
                <w:w w:val="97"/>
              </w:rPr>
              <w:t>Delaware</w:t>
            </w:r>
          </w:p>
        </w:tc>
        <w:tc>
          <w:tcPr>
            <w:tcW w:w="3560" w:type="dxa"/>
            <w:vAlign w:val="bottom"/>
          </w:tcPr>
          <w:p>
            <w:pPr>
              <w:jc w:val="right"/>
              <w:ind w:right="1341"/>
              <w:spacing w:after="0"/>
              <w:rPr>
                <w:sz w:val="20"/>
                <w:szCs w:val="20"/>
                <w:color w:val="auto"/>
              </w:rPr>
            </w:pPr>
            <w:r>
              <w:rPr>
                <w:rFonts w:ascii="Arial" w:cs="Arial" w:eastAsia="Arial" w:hAnsi="Arial"/>
                <w:sz w:val="18"/>
                <w:szCs w:val="18"/>
                <w:color w:val="auto"/>
                <w:highlight w:val="black"/>
              </w:rPr>
              <w:t>001-38098</w:t>
            </w:r>
          </w:p>
        </w:tc>
        <w:tc>
          <w:tcPr>
            <w:tcW w:w="2140" w:type="dxa"/>
            <w:vAlign w:val="bottom"/>
          </w:tcPr>
          <w:p>
            <w:pPr>
              <w:jc w:val="right"/>
              <w:ind w:right="43"/>
              <w:spacing w:after="0"/>
              <w:rPr>
                <w:sz w:val="20"/>
                <w:szCs w:val="20"/>
                <w:color w:val="auto"/>
              </w:rPr>
            </w:pPr>
            <w:r>
              <w:rPr>
                <w:rFonts w:ascii="Arial" w:cs="Arial" w:eastAsia="Arial" w:hAnsi="Arial"/>
                <w:sz w:val="18"/>
                <w:szCs w:val="18"/>
                <w:color w:val="auto"/>
                <w:highlight w:val="black"/>
              </w:rPr>
              <w:t>54-1956084</w:t>
            </w:r>
          </w:p>
        </w:tc>
      </w:tr>
      <w:tr>
        <w:trPr>
          <w:trHeight w:val="222"/>
        </w:trPr>
        <w:tc>
          <w:tcPr>
            <w:tcW w:w="3340" w:type="dxa"/>
            <w:vAlign w:val="bottom"/>
          </w:tcPr>
          <w:p>
            <w:pPr>
              <w:jc w:val="center"/>
              <w:ind w:right="801"/>
              <w:spacing w:after="0"/>
              <w:rPr>
                <w:sz w:val="20"/>
                <w:szCs w:val="20"/>
                <w:color w:val="auto"/>
              </w:rPr>
            </w:pPr>
            <w:r>
              <w:rPr>
                <w:rFonts w:ascii="Arial" w:cs="Arial" w:eastAsia="Arial" w:hAnsi="Arial"/>
                <w:sz w:val="14"/>
                <w:szCs w:val="14"/>
                <w:color w:val="auto"/>
              </w:rPr>
              <w:t>(State or Other Jurisdiction</w:t>
            </w:r>
          </w:p>
        </w:tc>
        <w:tc>
          <w:tcPr>
            <w:tcW w:w="3560" w:type="dxa"/>
            <w:vAlign w:val="bottom"/>
          </w:tcPr>
          <w:p>
            <w:pPr>
              <w:jc w:val="center"/>
              <w:ind w:right="41"/>
              <w:spacing w:after="0"/>
              <w:rPr>
                <w:sz w:val="20"/>
                <w:szCs w:val="20"/>
                <w:color w:val="auto"/>
              </w:rPr>
            </w:pPr>
            <w:r>
              <w:rPr>
                <w:rFonts w:ascii="Arial" w:cs="Arial" w:eastAsia="Arial" w:hAnsi="Arial"/>
                <w:sz w:val="14"/>
                <w:szCs w:val="14"/>
                <w:color w:val="auto"/>
              </w:rPr>
              <w:t>(Commission File Number)</w:t>
            </w:r>
          </w:p>
        </w:tc>
        <w:tc>
          <w:tcPr>
            <w:tcW w:w="2140" w:type="dxa"/>
            <w:vAlign w:val="bottom"/>
          </w:tcPr>
          <w:p>
            <w:pPr>
              <w:jc w:val="center"/>
              <w:ind w:left="903"/>
              <w:spacing w:after="0"/>
              <w:rPr>
                <w:sz w:val="20"/>
                <w:szCs w:val="20"/>
                <w:color w:val="auto"/>
              </w:rPr>
            </w:pPr>
            <w:r>
              <w:rPr>
                <w:rFonts w:ascii="Arial" w:cs="Arial" w:eastAsia="Arial" w:hAnsi="Arial"/>
                <w:sz w:val="14"/>
                <w:szCs w:val="14"/>
                <w:color w:val="auto"/>
                <w:highlight w:val="black"/>
              </w:rPr>
              <w:t>(I.R.S. Employer</w:t>
            </w:r>
          </w:p>
        </w:tc>
      </w:tr>
      <w:tr>
        <w:trPr>
          <w:trHeight w:val="175"/>
        </w:trPr>
        <w:tc>
          <w:tcPr>
            <w:tcW w:w="3340" w:type="dxa"/>
            <w:vAlign w:val="bottom"/>
          </w:tcPr>
          <w:p>
            <w:pPr>
              <w:jc w:val="center"/>
              <w:ind w:right="801"/>
              <w:spacing w:after="0"/>
              <w:rPr>
                <w:sz w:val="20"/>
                <w:szCs w:val="20"/>
                <w:color w:val="auto"/>
              </w:rPr>
            </w:pPr>
            <w:r>
              <w:rPr>
                <w:rFonts w:ascii="Arial" w:cs="Arial" w:eastAsia="Arial" w:hAnsi="Arial"/>
                <w:sz w:val="14"/>
                <w:szCs w:val="14"/>
                <w:color w:val="auto"/>
                <w:highlight w:val="black"/>
              </w:rPr>
              <w:t>of Incorporation)</w:t>
            </w:r>
          </w:p>
        </w:tc>
        <w:tc>
          <w:tcPr>
            <w:tcW w:w="3560" w:type="dxa"/>
            <w:vAlign w:val="bottom"/>
          </w:tcPr>
          <w:p>
            <w:pPr>
              <w:spacing w:after="0"/>
              <w:rPr>
                <w:sz w:val="15"/>
                <w:szCs w:val="15"/>
                <w:color w:val="auto"/>
              </w:rPr>
            </w:pPr>
          </w:p>
        </w:tc>
        <w:tc>
          <w:tcPr>
            <w:tcW w:w="2140" w:type="dxa"/>
            <w:vAlign w:val="bottom"/>
          </w:tcPr>
          <w:p>
            <w:pPr>
              <w:jc w:val="center"/>
              <w:ind w:left="923"/>
              <w:spacing w:after="0"/>
              <w:rPr>
                <w:sz w:val="20"/>
                <w:szCs w:val="20"/>
                <w:color w:val="auto"/>
              </w:rPr>
            </w:pPr>
            <w:r>
              <w:rPr>
                <w:rFonts w:ascii="Arial" w:cs="Arial" w:eastAsia="Arial" w:hAnsi="Arial"/>
                <w:sz w:val="14"/>
                <w:szCs w:val="14"/>
                <w:color w:val="auto"/>
                <w:highlight w:val="black"/>
              </w:rPr>
              <w:t>Identification No.)</w:t>
            </w:r>
          </w:p>
        </w:tc>
      </w:tr>
      <w:tr>
        <w:trPr>
          <w:trHeight w:val="372"/>
        </w:trPr>
        <w:tc>
          <w:tcPr>
            <w:tcW w:w="3340" w:type="dxa"/>
            <w:vAlign w:val="bottom"/>
          </w:tcPr>
          <w:p>
            <w:pPr>
              <w:jc w:val="center"/>
              <w:ind w:right="801"/>
              <w:spacing w:after="0"/>
              <w:rPr>
                <w:sz w:val="20"/>
                <w:szCs w:val="20"/>
                <w:color w:val="auto"/>
              </w:rPr>
            </w:pPr>
            <w:r>
              <w:rPr>
                <w:rFonts w:ascii="Arial" w:cs="Arial" w:eastAsia="Arial" w:hAnsi="Arial"/>
                <w:sz w:val="18"/>
                <w:szCs w:val="18"/>
                <w:color w:val="auto"/>
                <w:w w:val="97"/>
              </w:rPr>
              <w:t>7950 Jones Branch Drive</w:t>
            </w:r>
          </w:p>
        </w:tc>
        <w:tc>
          <w:tcPr>
            <w:tcW w:w="35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3340" w:type="dxa"/>
            <w:vAlign w:val="bottom"/>
          </w:tcPr>
          <w:p>
            <w:pPr>
              <w:jc w:val="center"/>
              <w:ind w:right="821"/>
              <w:spacing w:after="0"/>
              <w:rPr>
                <w:sz w:val="20"/>
                <w:szCs w:val="20"/>
                <w:color w:val="auto"/>
              </w:rPr>
            </w:pPr>
            <w:r>
              <w:rPr>
                <w:rFonts w:ascii="Arial" w:cs="Arial" w:eastAsia="Arial" w:hAnsi="Arial"/>
                <w:sz w:val="18"/>
                <w:szCs w:val="18"/>
                <w:color w:val="auto"/>
                <w:highlight w:val="black"/>
                <w:w w:val="93"/>
              </w:rPr>
              <w:t>McLean, VA</w:t>
            </w:r>
          </w:p>
        </w:tc>
        <w:tc>
          <w:tcPr>
            <w:tcW w:w="3560" w:type="dxa"/>
            <w:vAlign w:val="bottom"/>
          </w:tcPr>
          <w:p>
            <w:pPr>
              <w:spacing w:after="0"/>
              <w:rPr>
                <w:sz w:val="18"/>
                <w:szCs w:val="18"/>
                <w:color w:val="auto"/>
              </w:rPr>
            </w:pPr>
          </w:p>
        </w:tc>
        <w:tc>
          <w:tcPr>
            <w:tcW w:w="2140" w:type="dxa"/>
            <w:vAlign w:val="bottom"/>
          </w:tcPr>
          <w:p>
            <w:pPr>
              <w:jc w:val="right"/>
              <w:ind w:right="263"/>
              <w:spacing w:after="0"/>
              <w:rPr>
                <w:sz w:val="20"/>
                <w:szCs w:val="20"/>
                <w:color w:val="auto"/>
              </w:rPr>
            </w:pPr>
            <w:r>
              <w:rPr>
                <w:rFonts w:ascii="Arial" w:cs="Arial" w:eastAsia="Arial" w:hAnsi="Arial"/>
                <w:sz w:val="18"/>
                <w:szCs w:val="18"/>
                <w:color w:val="auto"/>
                <w:highlight w:val="black"/>
              </w:rPr>
              <w:t>22102</w:t>
            </w:r>
          </w:p>
        </w:tc>
      </w:tr>
      <w:tr>
        <w:trPr>
          <w:trHeight w:val="222"/>
        </w:trPr>
        <w:tc>
          <w:tcPr>
            <w:tcW w:w="3340" w:type="dxa"/>
            <w:vAlign w:val="bottom"/>
          </w:tcPr>
          <w:p>
            <w:pPr>
              <w:jc w:val="center"/>
              <w:ind w:right="801"/>
              <w:spacing w:after="0"/>
              <w:rPr>
                <w:sz w:val="20"/>
                <w:szCs w:val="20"/>
                <w:color w:val="auto"/>
              </w:rPr>
            </w:pPr>
            <w:r>
              <w:rPr>
                <w:rFonts w:ascii="Arial" w:cs="Arial" w:eastAsia="Arial" w:hAnsi="Arial"/>
                <w:sz w:val="14"/>
                <w:szCs w:val="14"/>
                <w:color w:val="auto"/>
              </w:rPr>
              <w:t>(Address of principal executive offices)</w:t>
            </w:r>
          </w:p>
        </w:tc>
        <w:tc>
          <w:tcPr>
            <w:tcW w:w="3560" w:type="dxa"/>
            <w:vAlign w:val="bottom"/>
          </w:tcPr>
          <w:p>
            <w:pPr>
              <w:spacing w:after="0"/>
              <w:rPr>
                <w:sz w:val="19"/>
                <w:szCs w:val="19"/>
                <w:color w:val="auto"/>
              </w:rPr>
            </w:pPr>
          </w:p>
        </w:tc>
        <w:tc>
          <w:tcPr>
            <w:tcW w:w="2140" w:type="dxa"/>
            <w:vAlign w:val="bottom"/>
          </w:tcPr>
          <w:p>
            <w:pPr>
              <w:jc w:val="center"/>
              <w:ind w:left="883"/>
              <w:spacing w:after="0"/>
              <w:rPr>
                <w:sz w:val="20"/>
                <w:szCs w:val="20"/>
                <w:color w:val="auto"/>
              </w:rPr>
            </w:pPr>
            <w:r>
              <w:rPr>
                <w:rFonts w:ascii="Arial" w:cs="Arial" w:eastAsia="Arial" w:hAnsi="Arial"/>
                <w:sz w:val="14"/>
                <w:szCs w:val="14"/>
                <w:color w:val="auto"/>
                <w:highlight w:val="black"/>
                <w:w w:val="99"/>
              </w:rPr>
              <w:t>(Zip Code)</w:t>
            </w:r>
          </w:p>
        </w:tc>
      </w:tr>
    </w:tbl>
    <w:p>
      <w:pPr>
        <w:spacing w:after="0" w:line="211" w:lineRule="exact"/>
        <w:rPr>
          <w:sz w:val="24"/>
          <w:szCs w:val="24"/>
          <w:color w:val="auto"/>
        </w:rPr>
      </w:pPr>
    </w:p>
    <w:p>
      <w:pPr>
        <w:jc w:val="center"/>
        <w:ind w:right="-189"/>
        <w:spacing w:after="0"/>
        <w:rPr>
          <w:sz w:val="20"/>
          <w:szCs w:val="20"/>
          <w:color w:val="auto"/>
        </w:rPr>
      </w:pPr>
      <w:r>
        <w:rPr>
          <w:rFonts w:ascii="Arial" w:cs="Arial" w:eastAsia="Arial" w:hAnsi="Arial"/>
          <w:sz w:val="16"/>
          <w:szCs w:val="16"/>
          <w:color w:val="auto"/>
        </w:rPr>
        <w:t>Registrant’s Telephone Number, Including Area Code: (703) 442-8844</w:t>
      </w:r>
    </w:p>
    <w:p>
      <w:pPr>
        <w:spacing w:after="0" w:line="262" w:lineRule="exact"/>
        <w:rPr>
          <w:sz w:val="24"/>
          <w:szCs w:val="24"/>
          <w:color w:val="auto"/>
        </w:rPr>
      </w:pPr>
    </w:p>
    <w:p>
      <w:pPr>
        <w:jc w:val="center"/>
        <w:ind w:right="-189"/>
        <w:spacing w:after="0"/>
        <w:rPr>
          <w:sz w:val="20"/>
          <w:szCs w:val="20"/>
          <w:color w:val="auto"/>
        </w:rPr>
      </w:pPr>
      <w:r>
        <w:rPr>
          <w:rFonts w:ascii="Arial" w:cs="Arial" w:eastAsia="Arial" w:hAnsi="Arial"/>
          <w:sz w:val="16"/>
          <w:szCs w:val="16"/>
          <w:color w:val="auto"/>
          <w:highlight w:val="black"/>
        </w:rPr>
        <w:t>Not Applicable</w:t>
      </w:r>
    </w:p>
    <w:p>
      <w:pPr>
        <w:jc w:val="center"/>
        <w:ind w:right="-189"/>
        <w:spacing w:after="0" w:line="235" w:lineRule="auto"/>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178435</wp:posOffset>
            </wp:positionV>
            <wp:extent cx="2768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10"/>
        <w:spacing w:after="0" w:line="22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Instructions A.2. below):</w:t>
      </w:r>
    </w:p>
    <w:p>
      <w:pPr>
        <w:spacing w:after="0" w:line="134" w:lineRule="exact"/>
        <w:rPr>
          <w:sz w:val="24"/>
          <w:szCs w:val="24"/>
          <w:color w:val="auto"/>
        </w:rPr>
      </w:pPr>
    </w:p>
    <w:p>
      <w:pPr>
        <w:ind w:left="350" w:hanging="350"/>
        <w:spacing w:after="0"/>
        <w:tabs>
          <w:tab w:leader="none" w:pos="35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310" w:hanging="310"/>
        <w:spacing w:after="0"/>
        <w:tabs>
          <w:tab w:leader="none" w:pos="3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310" w:hanging="310"/>
        <w:spacing w:after="0"/>
        <w:tabs>
          <w:tab w:leader="none" w:pos="3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0" w:lineRule="exact"/>
        <w:rPr>
          <w:rFonts w:ascii="MS PGothic" w:cs="MS PGothic" w:eastAsia="MS PGothic" w:hAnsi="MS PGothic"/>
          <w:sz w:val="16"/>
          <w:szCs w:val="16"/>
          <w:color w:val="auto"/>
        </w:rPr>
      </w:pPr>
    </w:p>
    <w:p>
      <w:pPr>
        <w:ind w:left="10" w:right="2820" w:hanging="10"/>
        <w:spacing w:after="0" w:line="485" w:lineRule="auto"/>
        <w:tabs>
          <w:tab w:leader="none" w:pos="32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Exchange Act:</w:t>
      </w:r>
    </w:p>
    <w:tbl>
      <w:tblPr>
        <w:tblLayout w:type="fixed"/>
        <w:tblInd w:w="1130" w:type="dxa"/>
        <w:tblCellMar>
          <w:top w:w="0" w:type="dxa"/>
          <w:left w:w="0" w:type="dxa"/>
          <w:bottom w:w="0" w:type="dxa"/>
          <w:right w:w="0" w:type="dxa"/>
        </w:tblCellMar>
      </w:tblPr>
      <w:tr>
        <w:trPr>
          <w:trHeight w:val="211"/>
        </w:trPr>
        <w:tc>
          <w:tcPr>
            <w:tcW w:w="200" w:type="dxa"/>
            <w:vAlign w:val="bottom"/>
          </w:tcPr>
          <w:p>
            <w:pPr>
              <w:spacing w:after="0"/>
              <w:rPr>
                <w:sz w:val="18"/>
                <w:szCs w:val="18"/>
                <w:color w:val="auto"/>
              </w:rPr>
            </w:pPr>
          </w:p>
        </w:tc>
        <w:tc>
          <w:tcPr>
            <w:tcW w:w="140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7"/>
              </w:rPr>
              <w:t>Title of each class</w:t>
            </w:r>
          </w:p>
        </w:tc>
        <w:tc>
          <w:tcPr>
            <w:tcW w:w="1840" w:type="dxa"/>
            <w:vAlign w:val="bottom"/>
          </w:tcPr>
          <w:p>
            <w:pPr>
              <w:spacing w:after="0"/>
              <w:rPr>
                <w:sz w:val="18"/>
                <w:szCs w:val="18"/>
                <w:color w:val="auto"/>
              </w:rPr>
            </w:pPr>
          </w:p>
        </w:tc>
        <w:tc>
          <w:tcPr>
            <w:tcW w:w="120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7"/>
              </w:rPr>
              <w:t>Trading symbol</w:t>
            </w:r>
          </w:p>
        </w:tc>
        <w:tc>
          <w:tcPr>
            <w:tcW w:w="1240" w:type="dxa"/>
            <w:vAlign w:val="bottom"/>
          </w:tcPr>
          <w:p>
            <w:pPr>
              <w:spacing w:after="0"/>
              <w:rPr>
                <w:sz w:val="18"/>
                <w:szCs w:val="18"/>
                <w:color w:val="auto"/>
              </w:rPr>
            </w:pPr>
          </w:p>
        </w:tc>
        <w:tc>
          <w:tcPr>
            <w:tcW w:w="352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8"/>
              </w:rPr>
              <w:t>Name of each exchange on which registered</w:t>
            </w:r>
          </w:p>
        </w:tc>
        <w:tc>
          <w:tcPr>
            <w:tcW w:w="20" w:type="dxa"/>
            <w:vAlign w:val="bottom"/>
          </w:tcPr>
          <w:p>
            <w:pPr>
              <w:spacing w:after="0"/>
              <w:rPr>
                <w:sz w:val="18"/>
                <w:szCs w:val="18"/>
                <w:color w:val="auto"/>
              </w:rPr>
            </w:pPr>
          </w:p>
        </w:tc>
      </w:tr>
      <w:tr>
        <w:trPr>
          <w:trHeight w:val="274"/>
        </w:trPr>
        <w:tc>
          <w:tcPr>
            <w:tcW w:w="3440" w:type="dxa"/>
            <w:vAlign w:val="bottom"/>
            <w:gridSpan w:val="3"/>
          </w:tcPr>
          <w:p>
            <w:pPr>
              <w:jc w:val="center"/>
              <w:ind w:right="1640"/>
              <w:spacing w:after="0"/>
              <w:rPr>
                <w:sz w:val="20"/>
                <w:szCs w:val="20"/>
                <w:color w:val="auto"/>
              </w:rPr>
            </w:pPr>
            <w:r>
              <w:rPr>
                <w:rFonts w:ascii="Arial" w:cs="Arial" w:eastAsia="Arial" w:hAnsi="Arial"/>
                <w:sz w:val="18"/>
                <w:szCs w:val="18"/>
                <w:color w:val="auto"/>
                <w:w w:val="94"/>
              </w:rPr>
              <w:t>Class A Common Stock</w:t>
            </w:r>
          </w:p>
        </w:tc>
        <w:tc>
          <w:tcPr>
            <w:tcW w:w="2440" w:type="dxa"/>
            <w:vAlign w:val="bottom"/>
            <w:gridSpan w:val="2"/>
          </w:tcPr>
          <w:p>
            <w:pPr>
              <w:jc w:val="center"/>
              <w:ind w:right="1240"/>
              <w:spacing w:after="0"/>
              <w:rPr>
                <w:sz w:val="20"/>
                <w:szCs w:val="20"/>
                <w:color w:val="auto"/>
              </w:rPr>
            </w:pPr>
            <w:r>
              <w:rPr>
                <w:rFonts w:ascii="Arial" w:cs="Arial" w:eastAsia="Arial" w:hAnsi="Arial"/>
                <w:sz w:val="18"/>
                <w:szCs w:val="18"/>
                <w:color w:val="auto"/>
                <w:w w:val="89"/>
              </w:rPr>
              <w:t>APPN</w:t>
            </w:r>
          </w:p>
        </w:tc>
        <w:tc>
          <w:tcPr>
            <w:tcW w:w="354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The Nasdaq Stock Market LLC</w:t>
            </w:r>
          </w:p>
        </w:tc>
      </w:tr>
    </w:tbl>
    <w:p>
      <w:pPr>
        <w:spacing w:after="0" w:line="176" w:lineRule="exact"/>
        <w:rPr>
          <w:sz w:val="24"/>
          <w:szCs w:val="24"/>
          <w:color w:val="auto"/>
        </w:rPr>
      </w:pPr>
    </w:p>
    <w:p>
      <w:pPr>
        <w:ind w:left="10" w:right="340"/>
        <w:spacing w:after="0" w:line="23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0"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left="10"/>
        <w:spacing w:after="0" w:line="24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1050290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205740</wp:posOffset>
            </wp:positionV>
            <wp:extent cx="69265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180340</wp:posOffset>
            </wp:positionV>
            <wp:extent cx="6926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070"/>
          </w:cols>
          <w:pgMar w:left="310" w:top="1440"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7, 2026, Appian Corporation (the "Company") issued a press release announcing its financial results for the first quarter ended</w:t>
      </w:r>
    </w:p>
    <w:p>
      <w:pPr>
        <w:spacing w:after="0" w:line="91" w:lineRule="exact"/>
        <w:rPr>
          <w:sz w:val="20"/>
          <w:szCs w:val="20"/>
          <w:color w:val="auto"/>
        </w:rPr>
      </w:pPr>
    </w:p>
    <w:p>
      <w:pPr>
        <w:ind w:right="480"/>
        <w:spacing w:after="0" w:line="270" w:lineRule="auto"/>
        <w:rPr>
          <w:sz w:val="20"/>
          <w:szCs w:val="20"/>
          <w:color w:val="auto"/>
        </w:rPr>
      </w:pPr>
      <w:r>
        <w:rPr>
          <w:rFonts w:ascii="Arial" w:cs="Arial" w:eastAsia="Arial" w:hAnsi="Arial"/>
          <w:sz w:val="16"/>
          <w:szCs w:val="16"/>
          <w:color w:val="auto"/>
        </w:rPr>
        <w:t>March 31, 2026, as well as information regarding a conference call to discuss these financial results and the Company's recent business highlights and financial outlook. The Company's press release is furnished as Exhibit 99.1 to this Current Report on Form 8-K.</w:t>
      </w:r>
    </w:p>
    <w:p>
      <w:pPr>
        <w:spacing w:after="0" w:line="261"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The information included in Item 2.02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Item 8.01. Other Events.</w:t>
      </w:r>
    </w:p>
    <w:p>
      <w:pPr>
        <w:spacing w:after="0" w:line="283" w:lineRule="exact"/>
        <w:rPr>
          <w:sz w:val="20"/>
          <w:szCs w:val="20"/>
          <w:color w:val="auto"/>
        </w:rPr>
      </w:pPr>
    </w:p>
    <w:p>
      <w:pPr>
        <w:ind w:right="140" w:firstLine="324"/>
        <w:spacing w:after="0" w:line="243" w:lineRule="auto"/>
        <w:rPr>
          <w:sz w:val="20"/>
          <w:szCs w:val="20"/>
          <w:color w:val="auto"/>
        </w:rPr>
      </w:pPr>
      <w:r>
        <w:rPr>
          <w:rFonts w:ascii="Arial" w:cs="Arial" w:eastAsia="Arial" w:hAnsi="Arial"/>
          <w:sz w:val="18"/>
          <w:szCs w:val="18"/>
          <w:color w:val="auto"/>
        </w:rPr>
        <w:t>The Board of Directors has authorized a program to repurchase up to $50.0 million of Appian's common stock (the “Share Repurchase Program”), effective May 2026 through February 2028. The Share Repurchase Program does not obligate Appian to acquire any specific number of shares, and shares of common stock may be repurchased using a variety of methods, including privately negotiated and/or open market transactions, under plans complying with Rule 10b5-1 of the Exchange Act, as part of accelerated share repurchases, or other methods. The timing and amount of any purchases of common stock will be based on Appian’s liquidity, general business and market conditions, debt covenant restrictions and other factors, including alternative investment opportunities.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ind w:left="20"/>
              <w:spacing w:after="0"/>
              <w:rPr>
                <w:sz w:val="20"/>
                <w:szCs w:val="20"/>
                <w:color w:val="auto"/>
              </w:rPr>
            </w:pPr>
            <w:r>
              <w:rPr>
                <w:rFonts w:ascii="Arial" w:cs="Arial" w:eastAsia="Arial" w:hAnsi="Arial"/>
                <w:sz w:val="18"/>
                <w:szCs w:val="18"/>
                <w:color w:val="auto"/>
                <w:highlight w:val="black"/>
              </w:rPr>
              <w:t>Exhibit No.</w:t>
            </w:r>
          </w:p>
        </w:tc>
        <w:tc>
          <w:tcPr>
            <w:tcW w:w="20" w:type="dxa"/>
            <w:vAlign w:val="bottom"/>
          </w:tcPr>
          <w:p>
            <w:pPr>
              <w:spacing w:after="0"/>
              <w:rPr>
                <w:sz w:val="17"/>
                <w:szCs w:val="17"/>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highlight w:val="black"/>
              </w:rPr>
              <w:t>Description</w:t>
            </w:r>
          </w:p>
        </w:tc>
      </w:tr>
      <w:tr>
        <w:trPr>
          <w:trHeight w:val="30"/>
        </w:trPr>
        <w:tc>
          <w:tcPr>
            <w:tcW w:w="13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308"/>
        </w:trPr>
        <w:tc>
          <w:tcPr>
            <w:tcW w:w="1340" w:type="dxa"/>
            <w:vAlign w:val="bottom"/>
          </w:tcPr>
          <w:p>
            <w:pPr>
              <w:ind w:left="20"/>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Press release dated May 7, 2026</w:t>
            </w:r>
          </w:p>
        </w:tc>
        <w:tc>
          <w:tcPr>
            <w:tcW w:w="6840" w:type="dxa"/>
            <w:vAlign w:val="bottom"/>
          </w:tcPr>
          <w:p>
            <w:pPr>
              <w:spacing w:after="0"/>
              <w:rPr>
                <w:sz w:val="24"/>
                <w:szCs w:val="24"/>
                <w:color w:val="auto"/>
              </w:rPr>
            </w:pP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846"/>
        </w:trPr>
        <w:tc>
          <w:tcPr>
            <w:tcW w:w="1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highlight w:val="black"/>
        </w:rPr>
        <w:t>SIGNATURES</w:t>
      </w:r>
    </w:p>
    <w:p>
      <w:pPr>
        <w:spacing w:after="0" w:line="29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380"/>
        <w:spacing w:after="0"/>
        <w:rPr>
          <w:sz w:val="20"/>
          <w:szCs w:val="20"/>
          <w:color w:val="auto"/>
        </w:rPr>
      </w:pPr>
      <w:r>
        <w:rPr>
          <w:rFonts w:ascii="Arial" w:cs="Arial" w:eastAsia="Arial" w:hAnsi="Arial"/>
          <w:sz w:val="18"/>
          <w:szCs w:val="18"/>
          <w:color w:val="auto"/>
          <w:highlight w:val="black"/>
        </w:rPr>
        <w:t>Appian Corporation</w:t>
      </w:r>
    </w:p>
    <w:p>
      <w:pPr>
        <w:spacing w:after="0" w:line="293" w:lineRule="exact"/>
        <w:rPr>
          <w:sz w:val="20"/>
          <w:szCs w:val="20"/>
          <w:color w:val="auto"/>
        </w:rPr>
      </w:pPr>
    </w:p>
    <w:p>
      <w:pPr>
        <w:ind w:left="20"/>
        <w:spacing w:after="0"/>
        <w:tabs>
          <w:tab w:leader="none" w:pos="4360" w:val="left"/>
          <w:tab w:leader="none" w:pos="7460" w:val="left"/>
        </w:tabs>
        <w:rPr>
          <w:sz w:val="20"/>
          <w:szCs w:val="20"/>
          <w:color w:val="auto"/>
        </w:rPr>
      </w:pPr>
      <w:r>
        <w:rPr>
          <w:rFonts w:ascii="Arial" w:cs="Arial" w:eastAsia="Arial" w:hAnsi="Arial"/>
          <w:sz w:val="18"/>
          <w:szCs w:val="18"/>
          <w:color w:val="auto"/>
        </w:rPr>
        <w:t>Date: May 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Srdjan Tanjga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19050</wp:posOffset>
            </wp:positionV>
            <wp:extent cx="38576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57"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highlight w:val="black"/>
        </w:rPr>
        <w:t>Srdjan Tanjga</w:t>
      </w:r>
    </w:p>
    <w:p>
      <w:pPr>
        <w:spacing w:after="0" w:line="63"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highlight w:val="black"/>
        </w:rPr>
        <w:t>Chief Financial Officer</w:t>
      </w:r>
    </w:p>
    <w:p>
      <w:pPr>
        <w:sectPr>
          <w:pgSz w:w="11900" w:h="16838" w:orient="portrait"/>
          <w:cols w:equalWidth="0" w:num="1">
            <w:col w:w="11160"/>
          </w:cols>
          <w:pgMar w:left="320" w:top="1293"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highlight w:val="black"/>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714500" cy="960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Appian Announces First Quarter 2026 Financial Results</w:t>
      </w:r>
    </w:p>
    <w:p>
      <w:pPr>
        <w:spacing w:after="0" w:line="295" w:lineRule="exact"/>
        <w:rPr>
          <w:sz w:val="20"/>
          <w:szCs w:val="20"/>
          <w:color w:val="auto"/>
        </w:rPr>
      </w:pPr>
    </w:p>
    <w:p>
      <w:pPr>
        <w:jc w:val="center"/>
        <w:ind w:left="340" w:right="60"/>
        <w:spacing w:after="0" w:line="232" w:lineRule="auto"/>
        <w:rPr>
          <w:sz w:val="20"/>
          <w:szCs w:val="20"/>
          <w:color w:val="auto"/>
        </w:rPr>
      </w:pPr>
      <w:r>
        <w:rPr>
          <w:rFonts w:ascii="Arial" w:cs="Arial" w:eastAsia="Arial" w:hAnsi="Arial"/>
          <w:sz w:val="21"/>
          <w:szCs w:val="21"/>
          <w:color w:val="auto"/>
        </w:rPr>
        <w:t>Cloud subscriptions revenue increased 25% year-over-year to $124.5 million, while cash flow provided by operations totaled $48.8 million.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 xml:space="preserve">McLean, VA – May 7, 2026 </w:t>
      </w:r>
      <w:r>
        <w:rPr>
          <w:rFonts w:ascii="Arial" w:cs="Arial" w:eastAsia="Arial" w:hAnsi="Arial"/>
          <w:sz w:val="18"/>
          <w:szCs w:val="18"/>
          <w:color w:val="auto"/>
        </w:rPr>
        <w:t>– Appian (Nasdaq: APPN) today announced financial results for the first quarter ended March 31,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2026 Financial Highlights:</w:t>
      </w:r>
    </w:p>
    <w:p>
      <w:pPr>
        <w:spacing w:after="0" w:line="283" w:lineRule="exact"/>
        <w:rPr>
          <w:sz w:val="20"/>
          <w:szCs w:val="20"/>
          <w:color w:val="auto"/>
        </w:rPr>
      </w:pPr>
    </w:p>
    <w:p>
      <w:pPr>
        <w:ind w:left="660" w:right="260" w:hanging="328"/>
        <w:spacing w:after="0" w:line="241" w:lineRule="auto"/>
        <w:tabs>
          <w:tab w:leader="none" w:pos="647"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black"/>
        </w:rPr>
        <w:t xml:space="preserve">Revenue: </w:t>
      </w:r>
      <w:r>
        <w:rPr>
          <w:rFonts w:ascii="Arial" w:cs="Arial" w:eastAsia="Arial" w:hAnsi="Arial"/>
          <w:sz w:val="18"/>
          <w:szCs w:val="18"/>
          <w:color w:val="auto"/>
        </w:rPr>
        <w:t>Cloud subscriptions revenue was $124.5 million, up 25% compared to the first quarter of 2025. Total subscriptions</w:t>
      </w:r>
      <w:r>
        <w:rPr>
          <w:rFonts w:ascii="Arial" w:cs="Arial" w:eastAsia="Arial" w:hAnsi="Arial"/>
          <w:sz w:val="18"/>
          <w:szCs w:val="18"/>
          <w:color w:val="auto"/>
          <w:highlight w:val="black"/>
        </w:rPr>
        <w:t xml:space="preserve"> </w:t>
      </w:r>
      <w:r>
        <w:rPr>
          <w:rFonts w:ascii="Arial" w:cs="Arial" w:eastAsia="Arial" w:hAnsi="Arial"/>
          <w:sz w:val="18"/>
          <w:szCs w:val="18"/>
          <w:color w:val="auto"/>
        </w:rPr>
        <w:t>revenue, which includes sales of our cloud subscriptions, other subscriptions, and the related maintenance and support, increased 19% year-over-year to $160.3 million. Professional services revenue was $41.9 million, an increase of 31% compared to the first quarter of 2025. Total revenue was $202.2 million, up 21% compared to the first quarter of 2025. Cloud net annualized recurring revenue (“ARR”) expansion was 115% as of March 31, 2026.</w:t>
      </w:r>
    </w:p>
    <w:p>
      <w:pPr>
        <w:spacing w:after="0" w:line="148" w:lineRule="exact"/>
        <w:rPr>
          <w:rFonts w:ascii="Arial" w:cs="Arial" w:eastAsia="Arial" w:hAnsi="Arial"/>
          <w:sz w:val="18"/>
          <w:szCs w:val="18"/>
          <w:color w:val="auto"/>
        </w:rPr>
      </w:pPr>
    </w:p>
    <w:p>
      <w:pPr>
        <w:ind w:left="660" w:right="160" w:hanging="328"/>
        <w:spacing w:after="0" w:line="234" w:lineRule="auto"/>
        <w:tabs>
          <w:tab w:leader="none" w:pos="647"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(loss) and non-GAAP operating income: GAAP operating income was $3.2 million, compared to GAAP operating loss of $(0.8) million for the first quarter of 2025. Non-GAAP operating income was $24.4 million, compared to non-GAAP operating income of $14.3 million for the first quarter of 2025.</w:t>
      </w:r>
    </w:p>
    <w:p>
      <w:pPr>
        <w:spacing w:after="0" w:line="150" w:lineRule="exact"/>
        <w:rPr>
          <w:rFonts w:ascii="Arial" w:cs="Arial" w:eastAsia="Arial" w:hAnsi="Arial"/>
          <w:sz w:val="18"/>
          <w:szCs w:val="18"/>
          <w:color w:val="auto"/>
        </w:rPr>
      </w:pPr>
    </w:p>
    <w:p>
      <w:pPr>
        <w:ind w:left="660" w:right="60" w:hanging="328"/>
        <w:spacing w:after="0" w:line="238" w:lineRule="auto"/>
        <w:tabs>
          <w:tab w:leader="none" w:pos="647"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and non-GAAP net income: GAAP net loss was $(1.5) million, compared to $(1.2) million for the first quarter of 2025. GAAP net loss per share was $(0.02) for the first quarter of 2026, compared to $(0.02) for the first quarter of 2025. Non-GAAP net income was $19.8 million, compared to $9.8 million for the first quarter of 2025. Non-GAAP net income per share was $0.27, compared to the $0.13 net income per share for the first quarter of 2025.</w:t>
      </w:r>
    </w:p>
    <w:p>
      <w:pPr>
        <w:spacing w:after="0" w:line="119"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black"/>
        </w:rPr>
        <w:t xml:space="preserve">Adjusted EBITDA: </w:t>
      </w:r>
      <w:r>
        <w:rPr>
          <w:rFonts w:ascii="Arial" w:cs="Arial" w:eastAsia="Arial" w:hAnsi="Arial"/>
          <w:sz w:val="18"/>
          <w:szCs w:val="18"/>
          <w:color w:val="auto"/>
        </w:rPr>
        <w:t>Adjusted EBITDA was $26.6 million, compared to adjusted EBITDA of $16.8 million for the first quarter of 2025.</w:t>
      </w:r>
    </w:p>
    <w:p>
      <w:pPr>
        <w:spacing w:after="0" w:line="148" w:lineRule="exact"/>
        <w:rPr>
          <w:rFonts w:ascii="Arial" w:cs="Arial" w:eastAsia="Arial" w:hAnsi="Arial"/>
          <w:sz w:val="18"/>
          <w:szCs w:val="18"/>
          <w:color w:val="auto"/>
        </w:rPr>
      </w:pPr>
    </w:p>
    <w:p>
      <w:pPr>
        <w:ind w:left="660" w:right="380" w:hanging="328"/>
        <w:spacing w:after="0" w:line="227" w:lineRule="auto"/>
        <w:tabs>
          <w:tab w:leader="none" w:pos="647"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black"/>
        </w:rPr>
        <w:t xml:space="preserve">Cash flows: </w:t>
      </w:r>
      <w:r>
        <w:rPr>
          <w:rFonts w:ascii="Arial" w:cs="Arial" w:eastAsia="Arial" w:hAnsi="Arial"/>
          <w:sz w:val="18"/>
          <w:szCs w:val="18"/>
          <w:color w:val="auto"/>
        </w:rPr>
        <w:t>Net cash provided by operating activities was $48.8 million for the three months ended March 31, 2026 compared to</w:t>
      </w:r>
      <w:r>
        <w:rPr>
          <w:rFonts w:ascii="Arial" w:cs="Arial" w:eastAsia="Arial" w:hAnsi="Arial"/>
          <w:sz w:val="18"/>
          <w:szCs w:val="18"/>
          <w:color w:val="auto"/>
          <w:highlight w:val="black"/>
        </w:rPr>
        <w:t xml:space="preserve"> </w:t>
      </w:r>
      <w:r>
        <w:rPr>
          <w:rFonts w:ascii="Arial" w:cs="Arial" w:eastAsia="Arial" w:hAnsi="Arial"/>
          <w:sz w:val="18"/>
          <w:szCs w:val="18"/>
          <w:color w:val="auto"/>
        </w:rPr>
        <w:t>$45.0 million of net cash provided by operating activities for the same period in 2025.</w:t>
      </w:r>
    </w:p>
    <w:p>
      <w:pPr>
        <w:spacing w:after="0" w:line="283" w:lineRule="exact"/>
        <w:rPr>
          <w:sz w:val="20"/>
          <w:szCs w:val="20"/>
          <w:color w:val="auto"/>
        </w:rPr>
      </w:pPr>
    </w:p>
    <w:p>
      <w:pPr>
        <w:ind w:right="440"/>
        <w:spacing w:after="0" w:line="227" w:lineRule="auto"/>
        <w:rPr>
          <w:sz w:val="20"/>
          <w:szCs w:val="20"/>
          <w:color w:val="auto"/>
        </w:rPr>
      </w:pPr>
      <w:r>
        <w:rPr>
          <w:rFonts w:ascii="Arial" w:cs="Arial" w:eastAsia="Arial" w:hAnsi="Arial"/>
          <w:sz w:val="18"/>
          <w:szCs w:val="18"/>
          <w:color w:val="auto"/>
        </w:rPr>
        <w:t>A reconciliation of GAAP to non-GAAP financial measures has been provided in the tables following the financial statements in this press release. An explanation of these measures is also included below under the heading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Financial Outlook: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May 7, 2026, guidance for 2026 is as follows:</w:t>
      </w:r>
    </w:p>
    <w:p>
      <w:pPr>
        <w:spacing w:after="0" w:line="252"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Quarter 2026 Guidance:</w:t>
      </w:r>
    </w:p>
    <w:p>
      <w:pPr>
        <w:spacing w:after="0" w:line="283" w:lineRule="exact"/>
        <w:rPr>
          <w:rFonts w:ascii="Arial" w:cs="Arial" w:eastAsia="Arial" w:hAnsi="Arial"/>
          <w:sz w:val="18"/>
          <w:szCs w:val="18"/>
          <w:color w:val="auto"/>
        </w:rPr>
      </w:pPr>
    </w:p>
    <w:p>
      <w:pPr>
        <w:ind w:left="1300" w:right="560" w:hanging="320"/>
        <w:spacing w:after="0" w:line="181" w:lineRule="auto"/>
        <w:tabs>
          <w:tab w:leader="none" w:pos="1296" w:val="left"/>
        </w:tabs>
        <w:numPr>
          <w:ilvl w:val="1"/>
          <w:numId w:val="3"/>
        </w:numPr>
        <w:rPr>
          <w:rFonts w:ascii="Arial" w:cs="Arial" w:eastAsia="Arial" w:hAnsi="Arial"/>
          <w:sz w:val="27"/>
          <w:szCs w:val="27"/>
          <w:color w:val="auto"/>
          <w:vertAlign w:val="superscript"/>
        </w:rPr>
      </w:pPr>
      <w:r>
        <w:rPr>
          <w:rFonts w:ascii="Arial" w:cs="Arial" w:eastAsia="Arial" w:hAnsi="Arial"/>
          <w:sz w:val="18"/>
          <w:szCs w:val="18"/>
          <w:color w:val="auto"/>
        </w:rPr>
        <w:t>Cloud subscriptions revenue is expected to be between $126.0 million and $128.0 million, representing year-over-year growth of 18% to 20%.</w:t>
      </w:r>
    </w:p>
    <w:p>
      <w:pPr>
        <w:sectPr>
          <w:pgSz w:w="11900" w:h="16838" w:orient="portrait"/>
          <w:cols w:equalWidth="0" w:num="1">
            <w:col w:w="11240"/>
          </w:cols>
          <w:pgMar w:left="320" w:top="1279" w:right="339" w:bottom="1440" w:gutter="0" w:footer="0" w:header="0"/>
        </w:sectPr>
      </w:pPr>
    </w:p>
    <w:bookmarkStart w:id="4" w:name="page5"/>
    <w:bookmarkEnd w:id="4"/>
    <w:p>
      <w:pPr>
        <w:ind w:left="1300" w:right="200" w:hanging="320"/>
        <w:spacing w:after="0" w:line="181" w:lineRule="auto"/>
        <w:tabs>
          <w:tab w:leader="none" w:pos="1296" w:val="left"/>
        </w:tabs>
        <w:numPr>
          <w:ilvl w:val="1"/>
          <w:numId w:val="4"/>
        </w:numPr>
        <w:rPr>
          <w:rFonts w:ascii="Arial" w:cs="Arial" w:eastAsia="Arial" w:hAnsi="Arial"/>
          <w:sz w:val="27"/>
          <w:szCs w:val="27"/>
          <w:color w:val="auto"/>
          <w:vertAlign w:val="superscript"/>
        </w:rPr>
      </w:pPr>
      <w:r>
        <w:rPr>
          <w:rFonts w:ascii="Arial" w:cs="Arial" w:eastAsia="Arial" w:hAnsi="Arial"/>
          <w:sz w:val="18"/>
          <w:szCs w:val="18"/>
          <w:color w:val="auto"/>
        </w:rPr>
        <w:t>Total revenue is expected to be between $191.0 million and $195.0 million, representing a year-over-year increase of 12% to 14%.</w:t>
      </w:r>
    </w:p>
    <w:p>
      <w:pPr>
        <w:spacing w:after="0" w:line="14" w:lineRule="exact"/>
        <w:rPr>
          <w:rFonts w:ascii="Arial" w:cs="Arial" w:eastAsia="Arial" w:hAnsi="Arial"/>
          <w:sz w:val="27"/>
          <w:szCs w:val="27"/>
          <w:color w:val="auto"/>
          <w:vertAlign w:val="superscript"/>
        </w:rPr>
      </w:pPr>
    </w:p>
    <w:p>
      <w:pPr>
        <w:ind w:left="1300" w:hanging="320"/>
        <w:spacing w:after="0"/>
        <w:tabs>
          <w:tab w:leader="none" w:pos="1300" w:val="left"/>
        </w:tabs>
        <w:numPr>
          <w:ilvl w:val="1"/>
          <w:numId w:val="4"/>
        </w:numPr>
        <w:rPr>
          <w:rFonts w:ascii="Arial" w:cs="Arial" w:eastAsia="Arial" w:hAnsi="Arial"/>
          <w:sz w:val="27"/>
          <w:szCs w:val="27"/>
          <w:color w:val="auto"/>
          <w:vertAlign w:val="superscript"/>
        </w:rPr>
      </w:pPr>
      <w:r>
        <w:rPr>
          <w:rFonts w:ascii="Arial" w:cs="Arial" w:eastAsia="Arial" w:hAnsi="Arial"/>
          <w:sz w:val="18"/>
          <w:szCs w:val="18"/>
          <w:color w:val="auto"/>
        </w:rPr>
        <w:t>Adjusted EBITDA is expected to be between $5.0 million and $8.0 million.</w:t>
      </w:r>
    </w:p>
    <w:p>
      <w:pPr>
        <w:spacing w:after="0" w:line="148" w:lineRule="exact"/>
        <w:rPr>
          <w:rFonts w:ascii="Arial" w:cs="Arial" w:eastAsia="Arial" w:hAnsi="Arial"/>
          <w:sz w:val="27"/>
          <w:szCs w:val="27"/>
          <w:color w:val="auto"/>
          <w:vertAlign w:val="superscript"/>
        </w:rPr>
      </w:pPr>
    </w:p>
    <w:p>
      <w:pPr>
        <w:ind w:left="1300" w:right="380" w:hanging="320"/>
        <w:spacing w:after="0" w:line="181" w:lineRule="auto"/>
        <w:tabs>
          <w:tab w:leader="none" w:pos="1296" w:val="left"/>
        </w:tabs>
        <w:numPr>
          <w:ilvl w:val="1"/>
          <w:numId w:val="4"/>
        </w:numPr>
        <w:rPr>
          <w:rFonts w:ascii="Arial" w:cs="Arial" w:eastAsia="Arial" w:hAnsi="Arial"/>
          <w:sz w:val="27"/>
          <w:szCs w:val="27"/>
          <w:color w:val="auto"/>
          <w:vertAlign w:val="superscript"/>
        </w:rPr>
      </w:pPr>
      <w:r>
        <w:rPr>
          <w:rFonts w:ascii="Arial" w:cs="Arial" w:eastAsia="Arial" w:hAnsi="Arial"/>
          <w:sz w:val="18"/>
          <w:szCs w:val="18"/>
          <w:color w:val="auto"/>
        </w:rPr>
        <w:t>Non-GAAP earnings (loss) per share is expected to be between $(0.02) and $0.02, assuming weighted average common shares outstanding of 74.2 million.</w:t>
      </w:r>
    </w:p>
    <w:p>
      <w:pPr>
        <w:spacing w:after="0" w:line="253" w:lineRule="exact"/>
        <w:rPr>
          <w:rFonts w:ascii="Arial" w:cs="Arial" w:eastAsia="Arial" w:hAnsi="Arial"/>
          <w:sz w:val="27"/>
          <w:szCs w:val="27"/>
          <w:color w:val="auto"/>
          <w:vertAlign w:val="superscript"/>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 Year 2026 Guidance:</w:t>
      </w:r>
    </w:p>
    <w:p>
      <w:pPr>
        <w:spacing w:after="0" w:line="283" w:lineRule="exact"/>
        <w:rPr>
          <w:rFonts w:ascii="Arial" w:cs="Arial" w:eastAsia="Arial" w:hAnsi="Arial"/>
          <w:sz w:val="18"/>
          <w:szCs w:val="18"/>
          <w:color w:val="auto"/>
        </w:rPr>
      </w:pPr>
    </w:p>
    <w:p>
      <w:pPr>
        <w:ind w:left="1300" w:right="540" w:hanging="320"/>
        <w:spacing w:after="0" w:line="181" w:lineRule="auto"/>
        <w:tabs>
          <w:tab w:leader="none" w:pos="1296" w:val="left"/>
        </w:tabs>
        <w:numPr>
          <w:ilvl w:val="1"/>
          <w:numId w:val="4"/>
        </w:numPr>
        <w:rPr>
          <w:rFonts w:ascii="Arial" w:cs="Arial" w:eastAsia="Arial" w:hAnsi="Arial"/>
          <w:sz w:val="27"/>
          <w:szCs w:val="27"/>
          <w:color w:val="auto"/>
          <w:vertAlign w:val="superscript"/>
        </w:rPr>
      </w:pPr>
      <w:r>
        <w:rPr>
          <w:rFonts w:ascii="Arial" w:cs="Arial" w:eastAsia="Arial" w:hAnsi="Arial"/>
          <w:sz w:val="18"/>
          <w:szCs w:val="18"/>
          <w:color w:val="auto"/>
        </w:rPr>
        <w:t>Cloud subscriptions revenue is expected to be between $515.0 million and $521.0 million, representing year-over-year growth of 18% to 19%.</w:t>
      </w:r>
    </w:p>
    <w:p>
      <w:pPr>
        <w:spacing w:after="0" w:line="149" w:lineRule="exact"/>
        <w:rPr>
          <w:rFonts w:ascii="Arial" w:cs="Arial" w:eastAsia="Arial" w:hAnsi="Arial"/>
          <w:sz w:val="27"/>
          <w:szCs w:val="27"/>
          <w:color w:val="auto"/>
          <w:vertAlign w:val="superscript"/>
        </w:rPr>
      </w:pPr>
    </w:p>
    <w:p>
      <w:pPr>
        <w:ind w:left="1300" w:right="200" w:hanging="320"/>
        <w:spacing w:after="0" w:line="181" w:lineRule="auto"/>
        <w:tabs>
          <w:tab w:leader="none" w:pos="1296" w:val="left"/>
        </w:tabs>
        <w:numPr>
          <w:ilvl w:val="1"/>
          <w:numId w:val="4"/>
        </w:numPr>
        <w:rPr>
          <w:rFonts w:ascii="Arial" w:cs="Arial" w:eastAsia="Arial" w:hAnsi="Arial"/>
          <w:sz w:val="27"/>
          <w:szCs w:val="27"/>
          <w:color w:val="auto"/>
          <w:vertAlign w:val="superscript"/>
        </w:rPr>
      </w:pPr>
      <w:r>
        <w:rPr>
          <w:rFonts w:ascii="Arial" w:cs="Arial" w:eastAsia="Arial" w:hAnsi="Arial"/>
          <w:sz w:val="18"/>
          <w:szCs w:val="18"/>
          <w:color w:val="auto"/>
        </w:rPr>
        <w:t>Total revenue is expected to be between $819.0 million and $831.0 million, representing a year-over-year increase of 13% to 14%.</w:t>
      </w:r>
    </w:p>
    <w:p>
      <w:pPr>
        <w:spacing w:after="0" w:line="14" w:lineRule="exact"/>
        <w:rPr>
          <w:rFonts w:ascii="Arial" w:cs="Arial" w:eastAsia="Arial" w:hAnsi="Arial"/>
          <w:sz w:val="27"/>
          <w:szCs w:val="27"/>
          <w:color w:val="auto"/>
          <w:vertAlign w:val="superscript"/>
        </w:rPr>
      </w:pPr>
    </w:p>
    <w:p>
      <w:pPr>
        <w:ind w:left="1300" w:hanging="320"/>
        <w:spacing w:after="0"/>
        <w:tabs>
          <w:tab w:leader="none" w:pos="1300" w:val="left"/>
        </w:tabs>
        <w:numPr>
          <w:ilvl w:val="1"/>
          <w:numId w:val="4"/>
        </w:numPr>
        <w:rPr>
          <w:rFonts w:ascii="Arial" w:cs="Arial" w:eastAsia="Arial" w:hAnsi="Arial"/>
          <w:sz w:val="27"/>
          <w:szCs w:val="27"/>
          <w:color w:val="auto"/>
          <w:vertAlign w:val="superscript"/>
        </w:rPr>
      </w:pPr>
      <w:r>
        <w:rPr>
          <w:rFonts w:ascii="Arial" w:cs="Arial" w:eastAsia="Arial" w:hAnsi="Arial"/>
          <w:sz w:val="18"/>
          <w:szCs w:val="18"/>
          <w:color w:val="auto"/>
        </w:rPr>
        <w:t>Adjusted EBITDA is expected to be between $97.0 million and $105.0 million.</w:t>
      </w:r>
    </w:p>
    <w:p>
      <w:pPr>
        <w:spacing w:after="0" w:line="148" w:lineRule="exact"/>
        <w:rPr>
          <w:rFonts w:ascii="Arial" w:cs="Arial" w:eastAsia="Arial" w:hAnsi="Arial"/>
          <w:sz w:val="27"/>
          <w:szCs w:val="27"/>
          <w:color w:val="auto"/>
          <w:vertAlign w:val="superscript"/>
        </w:rPr>
      </w:pPr>
    </w:p>
    <w:p>
      <w:pPr>
        <w:ind w:left="1300" w:right="440" w:hanging="320"/>
        <w:spacing w:after="0" w:line="181" w:lineRule="auto"/>
        <w:tabs>
          <w:tab w:leader="none" w:pos="1296" w:val="left"/>
        </w:tabs>
        <w:numPr>
          <w:ilvl w:val="1"/>
          <w:numId w:val="4"/>
        </w:numPr>
        <w:rPr>
          <w:rFonts w:ascii="Arial" w:cs="Arial" w:eastAsia="Arial" w:hAnsi="Arial"/>
          <w:sz w:val="27"/>
          <w:szCs w:val="27"/>
          <w:color w:val="auto"/>
          <w:vertAlign w:val="superscript"/>
        </w:rPr>
      </w:pPr>
      <w:r>
        <w:rPr>
          <w:rFonts w:ascii="Arial" w:cs="Arial" w:eastAsia="Arial" w:hAnsi="Arial"/>
          <w:sz w:val="18"/>
          <w:szCs w:val="18"/>
          <w:color w:val="auto"/>
        </w:rPr>
        <w:t>Non-GAAP earnings per share is expected to be between $0.94 and $1.05, assuming weighted average common shares outstanding of 73.9 million.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w:t>
      </w:r>
    </w:p>
    <w:p>
      <w:pPr>
        <w:spacing w:after="0" w:line="283" w:lineRule="exact"/>
        <w:rPr>
          <w:sz w:val="20"/>
          <w:szCs w:val="20"/>
          <w:color w:val="auto"/>
        </w:rPr>
      </w:pPr>
    </w:p>
    <w:p>
      <w:pPr>
        <w:ind w:right="700"/>
        <w:spacing w:after="0" w:line="227" w:lineRule="auto"/>
        <w:rPr>
          <w:sz w:val="20"/>
          <w:szCs w:val="20"/>
          <w:color w:val="auto"/>
        </w:rPr>
      </w:pPr>
      <w:r>
        <w:rPr>
          <w:rFonts w:ascii="Arial" w:cs="Arial" w:eastAsia="Arial" w:hAnsi="Arial"/>
          <w:sz w:val="18"/>
          <w:szCs w:val="18"/>
          <w:color w:val="auto"/>
        </w:rPr>
        <w:t>Appian will host a conference call today, May 7, 2026, at 8:30 a.m. ET to discuss Appian's financial results for the first quarter ended March 31, 2026 and business outlook.</w:t>
      </w:r>
    </w:p>
    <w:p>
      <w:pPr>
        <w:spacing w:after="0" w:line="264"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To access the call, navigate to the following link</w:t>
      </w:r>
      <w:r>
        <w:rPr>
          <w:rFonts w:ascii="Arial" w:cs="Arial" w:eastAsia="Arial" w:hAnsi="Arial"/>
          <w:sz w:val="22"/>
          <w:szCs w:val="22"/>
          <w:color w:val="auto"/>
          <w:vertAlign w:val="superscript"/>
        </w:rPr>
        <w:t>(1)</w:t>
      </w:r>
      <w:r>
        <w:rPr>
          <w:rFonts w:ascii="Arial" w:cs="Arial" w:eastAsia="Arial" w:hAnsi="Arial"/>
          <w:sz w:val="18"/>
          <w:szCs w:val="18"/>
          <w:color w:val="auto"/>
        </w:rPr>
        <w:t>. Once registered, participants can dial in using their phone with a dial in and PIN, or they can choose the Call Me option for instant dial to their phone. The live webcast of the conference call can also be accessed on the Investor Relations page of our website at https://investors.appian.com.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About Appian</w:t>
      </w:r>
    </w:p>
    <w:p>
      <w:pPr>
        <w:spacing w:after="0" w:line="283"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Appian provides process automation technology. We automate complex processes in large enterprises and governments. Our platform is known for its unique reliability and scale. We’ve been automating processes for 25 years and understand enterprise operations like no one else. For more information, visit appian.com. [Nasdaq: APPN]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w:t>
      </w:r>
    </w:p>
    <w:p>
      <w:pPr>
        <w:spacing w:after="0" w:line="2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To supplement its consolidated financial statements, which are prepared and presented in accordance with GAAP, Appian provides investors with certain non-GAAP financial performance measures. Appian uses these non-GAAP financial performance measures for financial and operational decision-making and as a means to evaluate period-to-period comparisons. Appian’s management believes these non-GAAP financial measures provide meaningful supplemental information regarding Appian’s performance by excluding certain expenses that may not be indicative of our recurring core business operating results. Appian believes both management and investors benefit from referring to these non-GAAP financial measures in assessing Appian’s performance and when planning, forecasting, and analyzing future periods. These non-GAAP financial measures also facilitate management’s internal comparisons to historical performance as well as comparisons to competitors’ operating results. Appian believes these non-GAAP financial measures are useful to investors both because (1) they allow for greater transparency with respect to measures used by management in its financial and operational decision-making and (2) they are used by institutional investors and the analyst community to help them analyze the health of Appian’s business.</w:t>
      </w:r>
    </w:p>
    <w:p>
      <w:pPr>
        <w:spacing w:after="0" w:line="28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non-GAAP financial performance measures include the following: non-GAAP subscriptions cost of revenue, non-GAAP professional services cost of revenue, non-GAAP total cost of revenue, non-GAAP total operating expense, non-GAAP operating income, non-GAAP income tax expense, non-GAAP net income, and non-GAAP net income per share, basic and diluted. These non-GAAP financial performance measures exclude the effect of stock-based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714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https://register-conf.media-server.com/register/BI87cbbf11a9b741df835a46cf74d1b911</w:t>
      </w:r>
    </w:p>
    <w:p>
      <w:pPr>
        <w:sectPr>
          <w:pgSz w:w="11900" w:h="16838" w:orient="portrait"/>
          <w:cols w:equalWidth="0" w:num="1">
            <w:col w:w="11220"/>
          </w:cols>
          <w:pgMar w:left="320" w:top="1311" w:right="359" w:bottom="1440" w:gutter="0" w:footer="0" w:header="0"/>
        </w:sectPr>
      </w:pPr>
    </w:p>
    <w:bookmarkStart w:id="5" w:name="page6"/>
    <w:bookmarkEnd w:id="5"/>
    <w:p>
      <w:pPr>
        <w:ind w:right="20"/>
        <w:spacing w:after="0" w:line="245" w:lineRule="auto"/>
        <w:rPr>
          <w:sz w:val="20"/>
          <w:szCs w:val="20"/>
          <w:color w:val="auto"/>
        </w:rPr>
      </w:pPr>
      <w:r>
        <w:rPr>
          <w:rFonts w:ascii="Arial" w:cs="Arial" w:eastAsia="Arial" w:hAnsi="Arial"/>
          <w:sz w:val="18"/>
          <w:szCs w:val="18"/>
          <w:color w:val="auto"/>
        </w:rPr>
        <w:t>compensation expense, unrealized foreign exchange rate gains and losses, certain non-ordinary litigation-related expenses consisting of legal and other professional fees associated with the Pegasystems cases (net of insurance reimbursements), or Litigation Expense, amortization of the judgment preservation insurance policy, or JPI Amortization, and lease impairments and lease-related charges associated with actions taken to reduce the footprint of our leased office spaces, or Lease Impairment and Lease-Related Charges. While some of these items may be recurring in nature and should not be disregarded in the evaluation of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in the future, we believe removing these items for purposes of calculating our non-GAAP financial measures provides investors with a more focused presentation of our ongoing operating performance.</w:t>
      </w:r>
    </w:p>
    <w:p>
      <w:pPr>
        <w:spacing w:after="0" w:line="28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Appian also discusses adjusted EBITDA, a non-GAAP financial performance measure it believes offers a useful view of the overall operation of its businesses. Appian defines adjusted EBITDA as net loss before (1) other income, net, (2) interest expense, (3) income tax expense, (4) depreciation expense and amortization of intangible assets, (5) stock-based compensation expense, (6) Litigation Expense, (7) JPI Amortization, and (8) Lease Impairment and Lease-Related Charges. The most directly comparable GAAP financial measure to adjusted EBITDA is net loss. Users should consider the limitations of using adjusted EBITDA, including the fact this measure does not provide a complete depiction of our operating performance. Adjusted EBITDA is not intended to purport to be an alternative to net loss as a measure of operating performance or to cash flows from operating activities as a measure of liquidity.</w:t>
      </w:r>
    </w:p>
    <w:p>
      <w:pPr>
        <w:spacing w:after="0" w:line="28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presentation of these non-GAAP financial measures is not intended to be considered in isolation from, as a substitute for, or superior to the financial information prepared and presented in accordance with GAAP, and Appian’s non-GAAP measures may be different from non-GAAP measures used by other companies. For more information on these non-GAAP financial measures, see the reconciliation of these non-GAAP financial measures to their nearest comparable GAAP measures at the end of this press release.</w:t>
      </w:r>
    </w:p>
    <w:p>
      <w:pPr>
        <w:spacing w:after="0" w:line="28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Appian provides guidance ranges for non-GAAP net income (loss) per share and adjusted EBITDA; however, we are not able to reconcile these amounts to their comparable GAAP financial measures without unreasonable efforts because certain information necessary to calculate such measures on a GAAP basis is unavailable, subject to high variability, dependent on future events outside of our control, and cannot be predicted. In addition, Appian believes such reconciliations could imply a degree of precision that might be confusing or misleading to investors. The actual effect of the reconciling items that Appian may exclude from these non-GAAP expense numbers, when determined, may be significant to the calculation of the comparable GAAP measures.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8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All statements contained in this press release other than statements of historical facts, including statements regarding Appian’s future financial and business performance for the second quarter and full year 2026, future investment by Appian in its go-to-market initiatives, increased demand for the Appian Platform, market opportunity and plans and objectives for future operations, including Appian’s ability to drive continued subscriptions revenue and total revenue growth, are forward-looking statements. The words “anticipate,” “believe,” “continue,” “estimate,” “expect,” “intend,” “may,” “will,” “plan,” and similar expressions are intended to identify forward-looking statements. Appian has based these forward-looking statements on its current expectations and projections about future events and financial trends that Appian believes may affect its financial condition, results of operations, business strategy, short-term and long-term business operations and objectives, and financial needs. These forward-looking statements are subject to a number of risks and uncertainties, including the risks and uncertainties associated with Appian’s market opportunity and the expansion of its core software markets in general, the opportunity and disruptive impact of AI, the effects of increased competition, as well as innovations by new and existing competitors in its market, Appian’s ability to effectively manage or sustain its growth and to maintain profitability, Appian’s ability to maintain, or strengthen awareness of, its brand, risks and uncertainties associated with the composition and concentration of Appian’s customer base and their demand for its platform and satisfaction with the services provided by Appian, Appian’s ability to operate in compliance with applicable laws and</w:t>
      </w:r>
    </w:p>
    <w:p>
      <w:pPr>
        <w:sectPr>
          <w:pgSz w:w="11900" w:h="16838" w:orient="portrait"/>
          <w:cols w:equalWidth="0" w:num="1">
            <w:col w:w="11240"/>
          </w:cols>
          <w:pgMar w:left="320" w:top="1311" w:right="339" w:bottom="1440" w:gutter="0" w:footer="0" w:header="0"/>
        </w:sectPr>
      </w:pPr>
    </w:p>
    <w:bookmarkStart w:id="6" w:name="page7"/>
    <w:bookmarkEnd w:id="6"/>
    <w:p>
      <w:pPr>
        <w:spacing w:after="0" w:line="245" w:lineRule="auto"/>
        <w:rPr>
          <w:sz w:val="20"/>
          <w:szCs w:val="20"/>
          <w:color w:val="auto"/>
        </w:rPr>
      </w:pPr>
      <w:r>
        <w:rPr>
          <w:rFonts w:ascii="Arial" w:cs="Arial" w:eastAsia="Arial" w:hAnsi="Arial"/>
          <w:sz w:val="18"/>
          <w:szCs w:val="18"/>
          <w:color w:val="auto"/>
        </w:rPr>
        <w:t>regulations, Appian’s strategic relationships with third parties, and additional risks and uncertainties set forth in the “Risk Factors” section of Appian’s most recent annual report on Form 10-K, quarterly reports on Form 10-Q, and other filings with the Securities and Exchange Commission. Moreover, Appian operates in a very competitive and rapidly changing environment. New risks emerge from time to time. It is not possible for Appian’s management to predict all risks, nor can Appian assess the impact of all factors on its business or the extent to which any factor, or combination of factors, may cause actual results to differ materially from those contained in any forward-looking statements Appian may make. In light of these risks, uncertainties, and assumptions, Appian cannot guarantee future results, levels of activity, performance, achievements, or events and circumstances reflected in the forward-looking statements will occur. Appian is under no duty to update any of these forward-looking statements after the date of this press release to conform these statements to actual results or revised expectations, except as required by law.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investors@appian.com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 Miller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Media Relations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pr@appian.com</w:t>
      </w:r>
    </w:p>
    <w:p>
      <w:pPr>
        <w:sectPr>
          <w:pgSz w:w="11900" w:h="16838" w:orient="portrait"/>
          <w:cols w:equalWidth="0" w:num="1">
            <w:col w:w="11100"/>
          </w:cols>
          <w:pgMar w:left="320" w:top="1311"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highlight w:val="black"/>
        </w:rPr>
        <w:t>APPIAN CORPORATION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ind w:left="4080"/>
        <w:spacing w:after="0"/>
        <w:rPr>
          <w:sz w:val="20"/>
          <w:szCs w:val="20"/>
          <w:color w:val="auto"/>
        </w:rPr>
      </w:pPr>
      <w:r>
        <w:rPr>
          <w:rFonts w:ascii="Arial" w:cs="Arial" w:eastAsia="Arial" w:hAnsi="Arial"/>
          <w:sz w:val="14"/>
          <w:szCs w:val="14"/>
          <w:color w:val="auto"/>
        </w:rPr>
        <w:t>(in thousands, except par value and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5935345</wp:posOffset>
            </wp:positionH>
            <wp:positionV relativeFrom="paragraph">
              <wp:posOffset>36195</wp:posOffset>
            </wp:positionV>
            <wp:extent cx="223520" cy="95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520" cy="9588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As of</w:t>
            </w: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highlight w:val="black"/>
              </w:rPr>
              <w:t>March 31, 2026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highlight w:val="black"/>
              </w:rPr>
              <w:t>December 31, 2025</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(unaudited)</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highlight w:val="black"/>
              </w:rPr>
              <w:t>Assets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highlight w:val="black"/>
              </w:rPr>
              <w:t>Current assets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40"/>
              <w:spacing w:after="0"/>
              <w:rPr>
                <w:sz w:val="20"/>
                <w:szCs w:val="20"/>
                <w:color w:val="auto"/>
              </w:rPr>
            </w:pPr>
            <w:r>
              <w:rPr>
                <w:rFonts w:ascii="Arial" w:cs="Arial" w:eastAsia="Arial" w:hAnsi="Arial"/>
                <w:sz w:val="13"/>
                <w:szCs w:val="13"/>
                <w:color w:val="auto"/>
              </w:rPr>
              <w:t>Cash and cash equivalents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14"/>
              <w:spacing w:after="0"/>
              <w:rPr>
                <w:sz w:val="20"/>
                <w:szCs w:val="20"/>
                <w:color w:val="auto"/>
              </w:rPr>
            </w:pPr>
            <w:r>
              <w:rPr>
                <w:rFonts w:ascii="Arial" w:cs="Arial" w:eastAsia="Arial" w:hAnsi="Arial"/>
                <w:sz w:val="13"/>
                <w:szCs w:val="13"/>
                <w:color w:val="auto"/>
              </w:rPr>
              <w:t>150,025</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135,810</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Short-term investments and marketable securities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55,963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51,415</w:t>
            </w:r>
          </w:p>
        </w:tc>
        <w:tc>
          <w:tcPr>
            <w:tcW w:w="0" w:type="dxa"/>
            <w:vAlign w:val="bottom"/>
          </w:tcPr>
          <w:p>
            <w:pPr>
              <w:spacing w:after="0"/>
              <w:rPr>
                <w:sz w:val="1"/>
                <w:szCs w:val="1"/>
                <w:color w:val="auto"/>
              </w:rPr>
            </w:pPr>
          </w:p>
        </w:tc>
      </w:tr>
      <w:tr>
        <w:trPr>
          <w:trHeight w:val="183"/>
        </w:trPr>
        <w:tc>
          <w:tcPr>
            <w:tcW w:w="7800" w:type="dxa"/>
            <w:vAlign w:val="bottom"/>
          </w:tcPr>
          <w:p>
            <w:pPr>
              <w:ind w:left="240"/>
              <w:spacing w:after="0"/>
              <w:rPr>
                <w:sz w:val="20"/>
                <w:szCs w:val="20"/>
                <w:color w:val="auto"/>
              </w:rPr>
            </w:pPr>
            <w:r>
              <w:rPr>
                <w:rFonts w:ascii="Arial" w:cs="Arial" w:eastAsia="Arial" w:hAnsi="Arial"/>
                <w:sz w:val="13"/>
                <w:szCs w:val="13"/>
                <w:color w:val="auto"/>
              </w:rPr>
              <w:t>Accounts receivable, net of allowance of $3,107 and $3,362, respectively</w:t>
            </w:r>
          </w:p>
        </w:tc>
        <w:tc>
          <w:tcPr>
            <w:tcW w:w="180" w:type="dxa"/>
            <w:vAlign w:val="bottom"/>
          </w:tcPr>
          <w:p>
            <w:pPr>
              <w:spacing w:after="0"/>
              <w:rPr>
                <w:sz w:val="15"/>
                <w:szCs w:val="15"/>
                <w:color w:val="auto"/>
              </w:rPr>
            </w:pPr>
          </w:p>
        </w:tc>
        <w:tc>
          <w:tcPr>
            <w:tcW w:w="1320" w:type="dxa"/>
            <w:vAlign w:val="bottom"/>
          </w:tcPr>
          <w:p>
            <w:pPr>
              <w:jc w:val="right"/>
              <w:ind w:right="14"/>
              <w:spacing w:after="0"/>
              <w:rPr>
                <w:sz w:val="20"/>
                <w:szCs w:val="20"/>
                <w:color w:val="auto"/>
              </w:rPr>
            </w:pPr>
            <w:r>
              <w:rPr>
                <w:rFonts w:ascii="Arial" w:cs="Arial" w:eastAsia="Arial" w:hAnsi="Arial"/>
                <w:sz w:val="13"/>
                <w:szCs w:val="13"/>
                <w:color w:val="auto"/>
              </w:rPr>
              <w:t>173,874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255,063</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commissions, current</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35,459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35,166</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Prepaid expenses and other current assets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38,632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41,970</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360"/>
              <w:spacing w:after="0"/>
              <w:rPr>
                <w:sz w:val="20"/>
                <w:szCs w:val="20"/>
                <w:color w:val="auto"/>
              </w:rPr>
            </w:pPr>
            <w:r>
              <w:rPr>
                <w:rFonts w:ascii="Arial" w:cs="Arial" w:eastAsia="Arial" w:hAnsi="Arial"/>
                <w:sz w:val="13"/>
                <w:szCs w:val="13"/>
                <w:color w:val="auto"/>
                <w:highlight w:val="black"/>
              </w:rPr>
              <w:t>Total current assets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453,953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519,424</w:t>
            </w: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Property and equipment, net of accumulated depreciation of $41,662 and $40,747, respectively</w:t>
            </w:r>
          </w:p>
        </w:tc>
        <w:tc>
          <w:tcPr>
            <w:tcW w:w="180" w:type="dxa"/>
            <w:vAlign w:val="bottom"/>
          </w:tcPr>
          <w:p>
            <w:pPr>
              <w:spacing w:after="0"/>
              <w:rPr>
                <w:sz w:val="15"/>
                <w:szCs w:val="15"/>
                <w:color w:val="auto"/>
              </w:rPr>
            </w:pPr>
          </w:p>
        </w:tc>
        <w:tc>
          <w:tcPr>
            <w:tcW w:w="1320" w:type="dxa"/>
            <w:vAlign w:val="bottom"/>
          </w:tcPr>
          <w:p>
            <w:pPr>
              <w:jc w:val="right"/>
              <w:ind w:right="14"/>
              <w:spacing w:after="0"/>
              <w:rPr>
                <w:sz w:val="20"/>
                <w:szCs w:val="20"/>
                <w:color w:val="auto"/>
              </w:rPr>
            </w:pPr>
            <w:r>
              <w:rPr>
                <w:rFonts w:ascii="Arial" w:cs="Arial" w:eastAsia="Arial" w:hAnsi="Arial"/>
                <w:sz w:val="13"/>
                <w:szCs w:val="13"/>
                <w:color w:val="auto"/>
              </w:rPr>
              <w:t>30,279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32,087</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28,145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28,811</w:t>
            </w: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Intangible assets, net of accumulated amortization of $7,444 and $7,301, respectively</w:t>
            </w:r>
          </w:p>
        </w:tc>
        <w:tc>
          <w:tcPr>
            <w:tcW w:w="180" w:type="dxa"/>
            <w:vAlign w:val="bottom"/>
          </w:tcPr>
          <w:p>
            <w:pPr>
              <w:spacing w:after="0"/>
              <w:rPr>
                <w:sz w:val="15"/>
                <w:szCs w:val="15"/>
                <w:color w:val="auto"/>
              </w:rPr>
            </w:pPr>
          </w:p>
        </w:tc>
        <w:tc>
          <w:tcPr>
            <w:tcW w:w="1320" w:type="dxa"/>
            <w:vAlign w:val="bottom"/>
          </w:tcPr>
          <w:p>
            <w:pPr>
              <w:jc w:val="right"/>
              <w:ind w:right="14"/>
              <w:spacing w:after="0"/>
              <w:rPr>
                <w:sz w:val="20"/>
                <w:szCs w:val="20"/>
                <w:color w:val="auto"/>
              </w:rPr>
            </w:pPr>
            <w:r>
              <w:rPr>
                <w:rFonts w:ascii="Arial" w:cs="Arial" w:eastAsia="Arial" w:hAnsi="Arial"/>
                <w:sz w:val="13"/>
                <w:szCs w:val="13"/>
                <w:color w:val="auto"/>
              </w:rPr>
              <w:t>904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1,246</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assets for operating leases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26,992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28,075</w:t>
            </w: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Deferred commissions, net of current portion</w:t>
            </w:r>
          </w:p>
        </w:tc>
        <w:tc>
          <w:tcPr>
            <w:tcW w:w="180" w:type="dxa"/>
            <w:vAlign w:val="bottom"/>
          </w:tcPr>
          <w:p>
            <w:pPr>
              <w:spacing w:after="0"/>
              <w:rPr>
                <w:sz w:val="15"/>
                <w:szCs w:val="15"/>
                <w:color w:val="auto"/>
              </w:rPr>
            </w:pPr>
          </w:p>
        </w:tc>
        <w:tc>
          <w:tcPr>
            <w:tcW w:w="1320" w:type="dxa"/>
            <w:vAlign w:val="bottom"/>
          </w:tcPr>
          <w:p>
            <w:pPr>
              <w:jc w:val="right"/>
              <w:ind w:right="14"/>
              <w:spacing w:after="0"/>
              <w:rPr>
                <w:sz w:val="20"/>
                <w:szCs w:val="20"/>
                <w:color w:val="auto"/>
              </w:rPr>
            </w:pPr>
            <w:r>
              <w:rPr>
                <w:rFonts w:ascii="Arial" w:cs="Arial" w:eastAsia="Arial" w:hAnsi="Arial"/>
                <w:sz w:val="13"/>
                <w:szCs w:val="13"/>
                <w:color w:val="auto"/>
              </w:rPr>
              <w:t>64,199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65,199</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4,874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4,850</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assets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14,017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11,703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highlight w:val="black"/>
              </w:rPr>
              <w:t>Total assets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623,363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691,395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Liabilities and Stockholders’ Deficit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highlight w:val="black"/>
              </w:rPr>
              <w:t>Current liabilities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14"/>
              <w:spacing w:after="0"/>
              <w:rPr>
                <w:sz w:val="20"/>
                <w:szCs w:val="20"/>
                <w:color w:val="auto"/>
              </w:rPr>
            </w:pPr>
            <w:r>
              <w:rPr>
                <w:rFonts w:ascii="Arial" w:cs="Arial" w:eastAsia="Arial" w:hAnsi="Arial"/>
                <w:sz w:val="13"/>
                <w:szCs w:val="13"/>
                <w:color w:val="auto"/>
              </w:rPr>
              <w:t>4,136</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6,655</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expenses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21,661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18,483</w:t>
            </w:r>
          </w:p>
        </w:tc>
        <w:tc>
          <w:tcPr>
            <w:tcW w:w="0" w:type="dxa"/>
            <w:vAlign w:val="bottom"/>
          </w:tcPr>
          <w:p>
            <w:pPr>
              <w:spacing w:after="0"/>
              <w:rPr>
                <w:sz w:val="1"/>
                <w:szCs w:val="1"/>
                <w:color w:val="auto"/>
              </w:rPr>
            </w:pPr>
          </w:p>
        </w:tc>
      </w:tr>
      <w:tr>
        <w:trPr>
          <w:trHeight w:val="183"/>
        </w:trPr>
        <w:tc>
          <w:tcPr>
            <w:tcW w:w="7800" w:type="dxa"/>
            <w:vAlign w:val="bottom"/>
          </w:tcPr>
          <w:p>
            <w:pPr>
              <w:ind w:left="240"/>
              <w:spacing w:after="0"/>
              <w:rPr>
                <w:sz w:val="20"/>
                <w:szCs w:val="20"/>
                <w:color w:val="auto"/>
              </w:rPr>
            </w:pPr>
            <w:r>
              <w:rPr>
                <w:rFonts w:ascii="Arial" w:cs="Arial" w:eastAsia="Arial" w:hAnsi="Arial"/>
                <w:sz w:val="13"/>
                <w:szCs w:val="13"/>
                <w:color w:val="auto"/>
              </w:rPr>
              <w:t>Accrued compensation and related benefits</w:t>
            </w:r>
          </w:p>
        </w:tc>
        <w:tc>
          <w:tcPr>
            <w:tcW w:w="180" w:type="dxa"/>
            <w:vAlign w:val="bottom"/>
          </w:tcPr>
          <w:p>
            <w:pPr>
              <w:spacing w:after="0"/>
              <w:rPr>
                <w:sz w:val="15"/>
                <w:szCs w:val="15"/>
                <w:color w:val="auto"/>
              </w:rPr>
            </w:pPr>
          </w:p>
        </w:tc>
        <w:tc>
          <w:tcPr>
            <w:tcW w:w="1320" w:type="dxa"/>
            <w:vAlign w:val="bottom"/>
          </w:tcPr>
          <w:p>
            <w:pPr>
              <w:jc w:val="right"/>
              <w:ind w:right="14"/>
              <w:spacing w:after="0"/>
              <w:rPr>
                <w:sz w:val="20"/>
                <w:szCs w:val="20"/>
                <w:color w:val="auto"/>
              </w:rPr>
            </w:pPr>
            <w:r>
              <w:rPr>
                <w:rFonts w:ascii="Arial" w:cs="Arial" w:eastAsia="Arial" w:hAnsi="Arial"/>
                <w:sz w:val="13"/>
                <w:szCs w:val="13"/>
                <w:color w:val="auto"/>
              </w:rPr>
              <w:t>32,354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61,781</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revenue</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320,401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341,281</w:t>
            </w:r>
          </w:p>
        </w:tc>
        <w:tc>
          <w:tcPr>
            <w:tcW w:w="0" w:type="dxa"/>
            <w:vAlign w:val="bottom"/>
          </w:tcPr>
          <w:p>
            <w:pPr>
              <w:spacing w:after="0"/>
              <w:rPr>
                <w:sz w:val="1"/>
                <w:szCs w:val="1"/>
                <w:color w:val="auto"/>
              </w:rPr>
            </w:pPr>
          </w:p>
        </w:tc>
      </w:tr>
      <w:tr>
        <w:trPr>
          <w:trHeight w:val="183"/>
        </w:trPr>
        <w:tc>
          <w:tcPr>
            <w:tcW w:w="7800" w:type="dxa"/>
            <w:vAlign w:val="bottom"/>
          </w:tcPr>
          <w:p>
            <w:pPr>
              <w:ind w:left="240"/>
              <w:spacing w:after="0"/>
              <w:rPr>
                <w:sz w:val="20"/>
                <w:szCs w:val="20"/>
                <w:color w:val="auto"/>
              </w:rPr>
            </w:pPr>
            <w:r>
              <w:rPr>
                <w:rFonts w:ascii="Arial" w:cs="Arial" w:eastAsia="Arial" w:hAnsi="Arial"/>
                <w:sz w:val="13"/>
                <w:szCs w:val="13"/>
                <w:color w:val="auto"/>
              </w:rPr>
              <w:t>Debt</w:t>
            </w:r>
          </w:p>
        </w:tc>
        <w:tc>
          <w:tcPr>
            <w:tcW w:w="180" w:type="dxa"/>
            <w:vAlign w:val="bottom"/>
          </w:tcPr>
          <w:p>
            <w:pPr>
              <w:spacing w:after="0"/>
              <w:rPr>
                <w:sz w:val="15"/>
                <w:szCs w:val="15"/>
                <w:color w:val="auto"/>
              </w:rPr>
            </w:pPr>
          </w:p>
        </w:tc>
        <w:tc>
          <w:tcPr>
            <w:tcW w:w="1320" w:type="dxa"/>
            <w:vAlign w:val="bottom"/>
          </w:tcPr>
          <w:p>
            <w:pPr>
              <w:jc w:val="right"/>
              <w:ind w:right="14"/>
              <w:spacing w:after="0"/>
              <w:rPr>
                <w:sz w:val="20"/>
                <w:szCs w:val="20"/>
                <w:color w:val="auto"/>
              </w:rPr>
            </w:pPr>
            <w:r>
              <w:rPr>
                <w:rFonts w:ascii="Arial" w:cs="Arial" w:eastAsia="Arial" w:hAnsi="Arial"/>
                <w:sz w:val="13"/>
                <w:szCs w:val="13"/>
                <w:color w:val="auto"/>
              </w:rPr>
              <w:t>9,598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9,598</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liabilities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13,201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13,181</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1,312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1,128</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360"/>
              <w:spacing w:after="0"/>
              <w:rPr>
                <w:sz w:val="20"/>
                <w:szCs w:val="20"/>
                <w:color w:val="auto"/>
              </w:rPr>
            </w:pPr>
            <w:r>
              <w:rPr>
                <w:rFonts w:ascii="Arial" w:cs="Arial" w:eastAsia="Arial" w:hAnsi="Arial"/>
                <w:sz w:val="13"/>
                <w:szCs w:val="13"/>
                <w:color w:val="auto"/>
                <w:highlight w:val="black"/>
              </w:rPr>
              <w:t>Total current liabilities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402,663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452,107</w:t>
            </w: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180" w:type="dxa"/>
            <w:vAlign w:val="bottom"/>
          </w:tcPr>
          <w:p>
            <w:pPr>
              <w:spacing w:after="0"/>
              <w:rPr>
                <w:sz w:val="15"/>
                <w:szCs w:val="15"/>
                <w:color w:val="auto"/>
              </w:rPr>
            </w:pPr>
          </w:p>
        </w:tc>
        <w:tc>
          <w:tcPr>
            <w:tcW w:w="1320" w:type="dxa"/>
            <w:vAlign w:val="bottom"/>
          </w:tcPr>
          <w:p>
            <w:pPr>
              <w:jc w:val="right"/>
              <w:ind w:right="14"/>
              <w:spacing w:after="0"/>
              <w:rPr>
                <w:sz w:val="20"/>
                <w:szCs w:val="20"/>
                <w:color w:val="auto"/>
              </w:rPr>
            </w:pPr>
            <w:r>
              <w:rPr>
                <w:rFonts w:ascii="Arial" w:cs="Arial" w:eastAsia="Arial" w:hAnsi="Arial"/>
                <w:sz w:val="13"/>
                <w:szCs w:val="13"/>
                <w:color w:val="auto"/>
              </w:rPr>
              <w:t>228,828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231,228</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operating lease liabilities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43,585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45,693</w:t>
            </w: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Deferred revenue, non-current</w:t>
            </w:r>
          </w:p>
        </w:tc>
        <w:tc>
          <w:tcPr>
            <w:tcW w:w="180" w:type="dxa"/>
            <w:vAlign w:val="bottom"/>
          </w:tcPr>
          <w:p>
            <w:pPr>
              <w:spacing w:after="0"/>
              <w:rPr>
                <w:sz w:val="15"/>
                <w:szCs w:val="15"/>
                <w:color w:val="auto"/>
              </w:rPr>
            </w:pPr>
          </w:p>
        </w:tc>
        <w:tc>
          <w:tcPr>
            <w:tcW w:w="1320" w:type="dxa"/>
            <w:vAlign w:val="bottom"/>
          </w:tcPr>
          <w:p>
            <w:pPr>
              <w:jc w:val="right"/>
              <w:ind w:right="14"/>
              <w:spacing w:after="0"/>
              <w:rPr>
                <w:sz w:val="20"/>
                <w:szCs w:val="20"/>
                <w:color w:val="auto"/>
              </w:rPr>
            </w:pPr>
            <w:r>
              <w:rPr>
                <w:rFonts w:ascii="Arial" w:cs="Arial" w:eastAsia="Arial" w:hAnsi="Arial"/>
                <w:sz w:val="13"/>
                <w:szCs w:val="13"/>
                <w:color w:val="auto"/>
              </w:rPr>
              <w:t>6,913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8,962</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rPr>
                <w:sz w:val="20"/>
                <w:szCs w:val="20"/>
                <w:color w:val="auto"/>
              </w:rPr>
            </w:pPr>
            <w:r>
              <w:rPr>
                <w:rFonts w:ascii="Arial" w:cs="Arial" w:eastAsia="Arial" w:hAnsi="Arial"/>
                <w:sz w:val="13"/>
                <w:szCs w:val="13"/>
                <w:color w:val="auto"/>
                <w:highlight w:val="black"/>
              </w:rPr>
              <w:t>Total liabilities</w:t>
            </w:r>
          </w:p>
        </w:tc>
        <w:tc>
          <w:tcPr>
            <w:tcW w:w="180" w:type="dxa"/>
            <w:vAlign w:val="bottom"/>
          </w:tcPr>
          <w:p>
            <w:pPr>
              <w:spacing w:after="0"/>
              <w:rPr>
                <w:sz w:val="15"/>
                <w:szCs w:val="15"/>
                <w:color w:val="auto"/>
              </w:rPr>
            </w:pPr>
          </w:p>
        </w:tc>
        <w:tc>
          <w:tcPr>
            <w:tcW w:w="1320" w:type="dxa"/>
            <w:vAlign w:val="bottom"/>
          </w:tcPr>
          <w:p>
            <w:pPr>
              <w:jc w:val="right"/>
              <w:ind w:right="14"/>
              <w:spacing w:after="0"/>
              <w:rPr>
                <w:sz w:val="20"/>
                <w:szCs w:val="20"/>
                <w:color w:val="auto"/>
              </w:rPr>
            </w:pPr>
            <w:r>
              <w:rPr>
                <w:rFonts w:ascii="Arial" w:cs="Arial" w:eastAsia="Arial" w:hAnsi="Arial"/>
                <w:sz w:val="13"/>
                <w:szCs w:val="13"/>
                <w:color w:val="auto"/>
              </w:rPr>
              <w:t>682,330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738,388</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highlight w:val="black"/>
              </w:rPr>
              <w:t>Stockholders’ deficit</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rPr>
                <w:sz w:val="20"/>
                <w:szCs w:val="20"/>
                <w:color w:val="auto"/>
              </w:rPr>
            </w:pPr>
            <w:r>
              <w:rPr>
                <w:rFonts w:ascii="Arial" w:cs="Arial" w:eastAsia="Arial" w:hAnsi="Arial"/>
                <w:sz w:val="13"/>
                <w:szCs w:val="13"/>
                <w:color w:val="auto"/>
              </w:rPr>
              <w:t>Class A common stock—par value $0.0001; 500,000,000 shares authorized as of March 31, 2026 and December 31, 2025 and</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800" w:type="dxa"/>
            <w:vAlign w:val="bottom"/>
          </w:tcPr>
          <w:p>
            <w:pPr>
              <w:ind w:left="20"/>
              <w:spacing w:after="0" w:line="135" w:lineRule="exact"/>
              <w:rPr>
                <w:sz w:val="20"/>
                <w:szCs w:val="20"/>
                <w:color w:val="auto"/>
              </w:rPr>
            </w:pPr>
            <w:r>
              <w:rPr>
                <w:rFonts w:ascii="Arial" w:cs="Arial" w:eastAsia="Arial" w:hAnsi="Arial"/>
                <w:sz w:val="13"/>
                <w:szCs w:val="13"/>
                <w:color w:val="auto"/>
              </w:rPr>
              <w:t>43,474,509 and 43,408,828 shares issued as of March 31, 2026 and December 31, 2025, respectively</w:t>
            </w:r>
          </w:p>
        </w:tc>
        <w:tc>
          <w:tcPr>
            <w:tcW w:w="180" w:type="dxa"/>
            <w:vAlign w:val="bottom"/>
          </w:tcPr>
          <w:p>
            <w:pPr>
              <w:spacing w:after="0"/>
              <w:rPr>
                <w:sz w:val="12"/>
                <w:szCs w:val="12"/>
                <w:color w:val="auto"/>
              </w:rPr>
            </w:pPr>
          </w:p>
        </w:tc>
        <w:tc>
          <w:tcPr>
            <w:tcW w:w="1320" w:type="dxa"/>
            <w:vAlign w:val="bottom"/>
          </w:tcPr>
          <w:p>
            <w:pPr>
              <w:jc w:val="right"/>
              <w:ind w:right="14"/>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3"/>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B common stock—par value $0.0001; 100,000,000 shares authorized as March 31, 2026 and December 31, 2025 and</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31,087,485 and 31,088,085 shares issued as of March 31, 2026 and December 31, 2025, respectively</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14"/>
              <w:spacing w:after="0" w:line="135"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Treasury stock at cost, 1,048,812 and 542,288 shares as of March 31, 2026 and December 31, 2025, respectively</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(29,152)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(16,935)</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Additional paid-in capital</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618,798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617,318</w:t>
            </w: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Accumulated other comprehensive loss</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(36,174)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(36,462)</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(612,446)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(610,921)</w:t>
            </w:r>
          </w:p>
        </w:tc>
        <w:tc>
          <w:tcPr>
            <w:tcW w:w="0" w:type="dxa"/>
            <w:vAlign w:val="bottom"/>
          </w:tcPr>
          <w:p>
            <w:pPr>
              <w:spacing w:after="0"/>
              <w:rPr>
                <w:sz w:val="1"/>
                <w:szCs w:val="1"/>
                <w:color w:val="auto"/>
              </w:rPr>
            </w:pPr>
          </w:p>
        </w:tc>
      </w:tr>
      <w:tr>
        <w:trPr>
          <w:trHeight w:val="17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deficit</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(58,967)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(46,993)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deficit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623,363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691,395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7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highlight w:val="black"/>
        </w:rPr>
        <w:t>APPIAN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10"/>
        </w:trPr>
        <w:tc>
          <w:tcPr>
            <w:tcW w:w="75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highlight w:val="black"/>
              </w:rPr>
              <w:t>2026</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highlight w:val="black"/>
              </w:rPr>
              <w:t>2025</w:t>
            </w:r>
          </w:p>
        </w:tc>
        <w:tc>
          <w:tcPr>
            <w:tcW w:w="680" w:type="dxa"/>
            <w:vAlign w:val="bottom"/>
            <w:tcBorders>
              <w:bottom w:val="single" w:sz="8" w:color="auto"/>
            </w:tcBorders>
          </w:tcPr>
          <w:p>
            <w:pPr>
              <w:spacing w:after="0"/>
              <w:rPr>
                <w:sz w:val="18"/>
                <w:szCs w:val="18"/>
                <w:color w:val="auto"/>
              </w:rPr>
            </w:pPr>
          </w:p>
        </w:tc>
      </w:tr>
      <w:tr>
        <w:trPr>
          <w:trHeight w:val="209"/>
        </w:trPr>
        <w:tc>
          <w:tcPr>
            <w:tcW w:w="7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80" w:type="dxa"/>
            <w:vAlign w:val="bottom"/>
            <w:gridSpan w:val="3"/>
          </w:tcPr>
          <w:p>
            <w:pPr>
              <w:jc w:val="right"/>
              <w:ind w:right="661"/>
              <w:spacing w:after="0"/>
              <w:rPr>
                <w:sz w:val="20"/>
                <w:szCs w:val="20"/>
                <w:color w:val="auto"/>
              </w:rPr>
            </w:pPr>
            <w:r>
              <w:rPr>
                <w:rFonts w:ascii="Arial" w:cs="Arial" w:eastAsia="Arial" w:hAnsi="Arial"/>
                <w:sz w:val="16"/>
                <w:szCs w:val="16"/>
                <w:color w:val="auto"/>
              </w:rPr>
              <w:t>(unaudited)</w:t>
            </w:r>
          </w:p>
        </w:tc>
        <w:tc>
          <w:tcPr>
            <w:tcW w:w="680" w:type="dxa"/>
            <w:vAlign w:val="bottom"/>
          </w:tcPr>
          <w:p>
            <w:pPr>
              <w:spacing w:after="0"/>
              <w:rPr>
                <w:sz w:val="18"/>
                <w:szCs w:val="18"/>
                <w:color w:val="auto"/>
              </w:rPr>
            </w:pP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Revenue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2"/>
        </w:trPr>
        <w:tc>
          <w:tcPr>
            <w:tcW w:w="758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160,311</w:t>
            </w:r>
          </w:p>
        </w:tc>
        <w:tc>
          <w:tcPr>
            <w:tcW w:w="100" w:type="dxa"/>
            <w:vAlign w:val="bottom"/>
          </w:tcPr>
          <w:p>
            <w:pPr>
              <w:spacing w:after="0"/>
              <w:rPr>
                <w:sz w:val="18"/>
                <w:szCs w:val="18"/>
                <w:color w:val="auto"/>
              </w:rPr>
            </w:pP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134,352</w:t>
            </w:r>
          </w:p>
        </w:tc>
      </w:tr>
      <w:tr>
        <w:trPr>
          <w:trHeight w:val="216"/>
        </w:trPr>
        <w:tc>
          <w:tcPr>
            <w:tcW w:w="7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41,869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32,074</w:t>
            </w: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color w:val="auto"/>
                <w:highlight w:val="black"/>
              </w:rPr>
              <w:t>Total revenue</w:t>
            </w:r>
          </w:p>
        </w:tc>
        <w:tc>
          <w:tcPr>
            <w:tcW w:w="1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202,180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166,426</w:t>
            </w: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Cost of revenue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2"/>
        </w:trPr>
        <w:tc>
          <w:tcPr>
            <w:tcW w:w="758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1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22,904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18,521</w:t>
            </w:r>
          </w:p>
        </w:tc>
      </w:tr>
      <w:tr>
        <w:trPr>
          <w:trHeight w:val="216"/>
        </w:trPr>
        <w:tc>
          <w:tcPr>
            <w:tcW w:w="7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31,507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25,519</w:t>
            </w:r>
          </w:p>
        </w:tc>
      </w:tr>
      <w:tr>
        <w:trPr>
          <w:trHeight w:val="21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highlight w:val="black"/>
              </w:rPr>
              <w:t>Total cost of revenue</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54,411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44,040</w:t>
            </w: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Gross profit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147,769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122,386</w:t>
            </w:r>
          </w:p>
        </w:tc>
      </w:tr>
      <w:tr>
        <w:trPr>
          <w:trHeight w:val="212"/>
        </w:trPr>
        <w:tc>
          <w:tcPr>
            <w:tcW w:w="7580" w:type="dxa"/>
            <w:vAlign w:val="bottom"/>
          </w:tcPr>
          <w:p>
            <w:pPr>
              <w:ind w:left="20"/>
              <w:spacing w:after="0"/>
              <w:rPr>
                <w:sz w:val="20"/>
                <w:szCs w:val="20"/>
                <w:color w:val="auto"/>
              </w:rPr>
            </w:pPr>
            <w:r>
              <w:rPr>
                <w:rFonts w:ascii="Arial" w:cs="Arial" w:eastAsia="Arial" w:hAnsi="Arial"/>
                <w:sz w:val="16"/>
                <w:szCs w:val="16"/>
                <w:color w:val="auto"/>
                <w:highlight w:val="black"/>
              </w:rPr>
              <w:t>Operating expenses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0"/>
        </w:trPr>
        <w:tc>
          <w:tcPr>
            <w:tcW w:w="7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64,619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56,310</w:t>
            </w:r>
          </w:p>
        </w:tc>
      </w:tr>
      <w:tr>
        <w:trPr>
          <w:trHeight w:val="212"/>
        </w:trPr>
        <w:tc>
          <w:tcPr>
            <w:tcW w:w="758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46,324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41,830</w:t>
            </w:r>
          </w:p>
        </w:tc>
      </w:tr>
      <w:tr>
        <w:trPr>
          <w:trHeight w:val="216"/>
        </w:trPr>
        <w:tc>
          <w:tcPr>
            <w:tcW w:w="7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33,670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25,080</w:t>
            </w:r>
          </w:p>
        </w:tc>
      </w:tr>
      <w:tr>
        <w:trPr>
          <w:trHeight w:val="20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144,613</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123,220</w:t>
            </w: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r>
      <w:tr>
        <w:trPr>
          <w:trHeight w:val="212"/>
        </w:trPr>
        <w:tc>
          <w:tcPr>
            <w:tcW w:w="7580" w:type="dxa"/>
            <w:vAlign w:val="bottom"/>
          </w:tcPr>
          <w:p>
            <w:pPr>
              <w:ind w:left="20"/>
              <w:spacing w:after="0"/>
              <w:rPr>
                <w:sz w:val="20"/>
                <w:szCs w:val="20"/>
                <w:color w:val="auto"/>
              </w:rPr>
            </w:pPr>
            <w:r>
              <w:rPr>
                <w:rFonts w:ascii="Arial" w:cs="Arial" w:eastAsia="Arial" w:hAnsi="Arial"/>
                <w:sz w:val="16"/>
                <w:szCs w:val="16"/>
                <w:color w:val="auto"/>
              </w:rPr>
              <w:t>Other non-operating expense (income)</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0"/>
        </w:trPr>
        <w:tc>
          <w:tcPr>
            <w:tcW w:w="7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w:t>
            </w:r>
          </w:p>
        </w:tc>
      </w:tr>
      <w:tr>
        <w:trPr>
          <w:trHeight w:val="212"/>
        </w:trPr>
        <w:tc>
          <w:tcPr>
            <w:tcW w:w="75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 expense</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5,318</w:t>
            </w:r>
          </w:p>
        </w:tc>
      </w:tr>
      <w:tr>
        <w:trPr>
          <w:trHeight w:val="209"/>
        </w:trPr>
        <w:tc>
          <w:tcPr>
            <w:tcW w:w="7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non-operating expense (income)</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4,088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741</w:t>
            </w:r>
          </w:p>
        </w:tc>
      </w:tr>
      <w:tr>
        <w:trPr>
          <w:trHeight w:val="247"/>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highlight w:val="black"/>
              </w:rPr>
              <w:t>Net loss</w:t>
            </w: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r>
      <w:tr>
        <w:trPr>
          <w:trHeight w:val="189"/>
        </w:trPr>
        <w:tc>
          <w:tcPr>
            <w:tcW w:w="75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Net loss per Class A and Class B share:</w:t>
            </w: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12"/>
        </w:trPr>
        <w:tc>
          <w:tcPr>
            <w:tcW w:w="758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09"/>
        </w:trPr>
        <w:tc>
          <w:tcPr>
            <w:tcW w:w="758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1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73,820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74,094</w:t>
            </w:r>
          </w:p>
        </w:tc>
      </w:tr>
    </w:tbl>
    <w:p>
      <w:pPr>
        <w:sectPr>
          <w:pgSz w:w="11900" w:h="16838" w:orient="portrait"/>
          <w:cols w:equalWidth="0" w:num="1">
            <w:col w:w="11240"/>
          </w:cols>
          <w:pgMar w:left="320" w:top="127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highlight w:val="black"/>
        </w:rPr>
        <w:t>APPIAN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STOCK-BASED COMPENSATION EXPENSE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209"/>
        </w:trPr>
        <w:tc>
          <w:tcPr>
            <w:tcW w:w="7580" w:type="dxa"/>
            <w:vAlign w:val="bottom"/>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highlight w:val="black"/>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highlight w:val="black"/>
              </w:rPr>
              <w:t>2025</w:t>
            </w:r>
          </w:p>
        </w:tc>
        <w:tc>
          <w:tcPr>
            <w:tcW w:w="640" w:type="dxa"/>
            <w:vAlign w:val="bottom"/>
            <w:tcBorders>
              <w:bottom w:val="single" w:sz="8" w:color="auto"/>
            </w:tcBorders>
          </w:tcPr>
          <w:p>
            <w:pPr>
              <w:spacing w:after="0"/>
              <w:rPr>
                <w:sz w:val="18"/>
                <w:szCs w:val="18"/>
                <w:color w:val="auto"/>
              </w:rPr>
            </w:pPr>
          </w:p>
        </w:tc>
      </w:tr>
      <w:tr>
        <w:trPr>
          <w:trHeight w:val="209"/>
        </w:trPr>
        <w:tc>
          <w:tcPr>
            <w:tcW w:w="7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3"/>
          </w:tcPr>
          <w:p>
            <w:pPr>
              <w:jc w:val="right"/>
              <w:ind w:right="701"/>
              <w:spacing w:after="0"/>
              <w:rPr>
                <w:sz w:val="20"/>
                <w:szCs w:val="20"/>
                <w:color w:val="auto"/>
              </w:rPr>
            </w:pPr>
            <w:r>
              <w:rPr>
                <w:rFonts w:ascii="Arial" w:cs="Arial" w:eastAsia="Arial" w:hAnsi="Arial"/>
                <w:sz w:val="16"/>
                <w:szCs w:val="16"/>
                <w:color w:val="auto"/>
              </w:rPr>
              <w:t>(unaudited)</w:t>
            </w:r>
          </w:p>
        </w:tc>
        <w:tc>
          <w:tcPr>
            <w:tcW w:w="640" w:type="dxa"/>
            <w:vAlign w:val="bottom"/>
          </w:tcPr>
          <w:p>
            <w:pPr>
              <w:spacing w:after="0"/>
              <w:rPr>
                <w:sz w:val="18"/>
                <w:szCs w:val="18"/>
                <w:color w:val="auto"/>
              </w:rPr>
            </w:pP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2"/>
        </w:trPr>
        <w:tc>
          <w:tcPr>
            <w:tcW w:w="758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1140" w:type="dxa"/>
            <w:vAlign w:val="bottom"/>
          </w:tcPr>
          <w:p>
            <w:pPr>
              <w:jc w:val="right"/>
              <w:ind w:right="96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1140" w:type="dxa"/>
            <w:vAlign w:val="bottom"/>
          </w:tcPr>
          <w:p>
            <w:pPr>
              <w:jc w:val="right"/>
              <w:ind w:right="96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498</w:t>
            </w:r>
          </w:p>
        </w:tc>
      </w:tr>
      <w:tr>
        <w:trPr>
          <w:trHeight w:val="220"/>
        </w:trPr>
        <w:tc>
          <w:tcPr>
            <w:tcW w:w="7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1,456</w:t>
            </w:r>
          </w:p>
        </w:tc>
      </w:tr>
      <w:tr>
        <w:trPr>
          <w:trHeight w:val="212"/>
        </w:trPr>
        <w:tc>
          <w:tcPr>
            <w:tcW w:w="75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0"/>
        </w:trPr>
        <w:tc>
          <w:tcPr>
            <w:tcW w:w="7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2,246</w:t>
            </w:r>
          </w:p>
        </w:tc>
      </w:tr>
      <w:tr>
        <w:trPr>
          <w:trHeight w:val="212"/>
        </w:trPr>
        <w:tc>
          <w:tcPr>
            <w:tcW w:w="758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1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3,735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3,014</w:t>
            </w:r>
          </w:p>
        </w:tc>
      </w:tr>
      <w:tr>
        <w:trPr>
          <w:trHeight w:val="220"/>
        </w:trPr>
        <w:tc>
          <w:tcPr>
            <w:tcW w:w="7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3,554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2,825</w:t>
            </w:r>
          </w:p>
        </w:tc>
      </w:tr>
      <w:tr>
        <w:trPr>
          <w:trHeight w:val="206"/>
        </w:trPr>
        <w:tc>
          <w:tcPr>
            <w:tcW w:w="7580" w:type="dxa"/>
            <w:vAlign w:val="bottom"/>
          </w:tcPr>
          <w:p>
            <w:pPr>
              <w:ind w:left="20"/>
              <w:spacing w:after="0"/>
              <w:rPr>
                <w:sz w:val="20"/>
                <w:szCs w:val="20"/>
                <w:color w:val="auto"/>
              </w:rPr>
            </w:pPr>
            <w:r>
              <w:rPr>
                <w:rFonts w:ascii="Arial" w:cs="Arial" w:eastAsia="Arial" w:hAnsi="Arial"/>
                <w:sz w:val="16"/>
                <w:szCs w:val="16"/>
                <w:color w:val="auto"/>
              </w:rPr>
              <w:t>Total stock-based compensation expense</w:t>
            </w:r>
          </w:p>
        </w:tc>
        <w:tc>
          <w:tcPr>
            <w:tcW w:w="114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11,889</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10,039</w:t>
            </w:r>
          </w:p>
        </w:tc>
      </w:tr>
      <w:tr>
        <w:trPr>
          <w:trHeight w:val="24"/>
        </w:trPr>
        <w:tc>
          <w:tcPr>
            <w:tcW w:w="7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27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color w:val="auto"/>
          <w:highlight w:val="black"/>
        </w:rPr>
        <w:t>APPIAN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60" w:type="dxa"/>
            <w:vAlign w:val="bottom"/>
          </w:tcPr>
          <w:p>
            <w:pPr>
              <w:spacing w:after="0"/>
              <w:rPr>
                <w:sz w:val="14"/>
                <w:szCs w:val="14"/>
                <w:color w:val="auto"/>
              </w:rPr>
            </w:pPr>
          </w:p>
        </w:tc>
        <w:tc>
          <w:tcPr>
            <w:tcW w:w="298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color w:val="auto"/>
              </w:rPr>
              <w:t>Three Months Ended March 31,</w:t>
            </w:r>
          </w:p>
        </w:tc>
      </w:tr>
      <w:tr>
        <w:trPr>
          <w:trHeight w:val="183"/>
        </w:trPr>
        <w:tc>
          <w:tcPr>
            <w:tcW w:w="8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highlight w:val="black"/>
              </w:rPr>
              <w:t>2026</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highlight w:val="black"/>
              </w:rPr>
              <w:t>2025</w:t>
            </w:r>
          </w:p>
        </w:tc>
      </w:tr>
      <w:tr>
        <w:trPr>
          <w:trHeight w:val="175"/>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3"/>
        </w:trPr>
        <w:tc>
          <w:tcPr>
            <w:tcW w:w="8260" w:type="dxa"/>
            <w:vAlign w:val="bottom"/>
          </w:tcPr>
          <w:p>
            <w:pPr>
              <w:ind w:left="24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ind w:right="712"/>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(1,177)</w:t>
            </w:r>
          </w:p>
        </w:tc>
      </w:tr>
      <w:tr>
        <w:trPr>
          <w:trHeight w:val="195"/>
        </w:trPr>
        <w:tc>
          <w:tcPr>
            <w:tcW w:w="8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3"/>
        </w:trPr>
        <w:tc>
          <w:tcPr>
            <w:tcW w:w="82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11,889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10,039</w:t>
            </w:r>
          </w:p>
        </w:tc>
      </w:tr>
      <w:tr>
        <w:trPr>
          <w:trHeight w:val="195"/>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expense and amortization of intangible assets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2,446</w:t>
            </w:r>
          </w:p>
        </w:tc>
      </w:tr>
      <w:tr>
        <w:trPr>
          <w:trHeight w:val="183"/>
        </w:trPr>
        <w:tc>
          <w:tcPr>
            <w:tcW w:w="8260" w:type="dxa"/>
            <w:vAlign w:val="bottom"/>
          </w:tcPr>
          <w:p>
            <w:pPr>
              <w:ind w:left="360"/>
              <w:spacing w:after="0"/>
              <w:rPr>
                <w:sz w:val="20"/>
                <w:szCs w:val="20"/>
                <w:color w:val="auto"/>
              </w:rPr>
            </w:pPr>
            <w:r>
              <w:rPr>
                <w:rFonts w:ascii="Arial" w:cs="Arial" w:eastAsia="Arial" w:hAnsi="Arial"/>
                <w:sz w:val="14"/>
                <w:szCs w:val="14"/>
                <w:color w:val="auto"/>
              </w:rPr>
              <w:t>Bad debt expense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95"/>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83"/>
        </w:trPr>
        <w:tc>
          <w:tcPr>
            <w:tcW w:w="8260" w:type="dxa"/>
            <w:vAlign w:val="bottom"/>
          </w:tcPr>
          <w:p>
            <w:pPr>
              <w:ind w:left="360"/>
              <w:spacing w:after="0"/>
              <w:rPr>
                <w:sz w:val="20"/>
                <w:szCs w:val="20"/>
                <w:color w:val="auto"/>
              </w:rPr>
            </w:pPr>
            <w:r>
              <w:rPr>
                <w:rFonts w:ascii="Arial" w:cs="Arial" w:eastAsia="Arial" w:hAnsi="Arial"/>
                <w:sz w:val="14"/>
                <w:szCs w:val="14"/>
                <w:color w:val="auto"/>
              </w:rPr>
              <w:t>Benefit for deferred income taxes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195"/>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Foreign currency transaction losses (gains), net</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w:t>
            </w:r>
          </w:p>
        </w:tc>
      </w:tr>
      <w:tr>
        <w:trPr>
          <w:trHeight w:val="183"/>
        </w:trPr>
        <w:tc>
          <w:tcPr>
            <w:tcW w:w="8260" w:type="dxa"/>
            <w:vAlign w:val="bottom"/>
          </w:tcPr>
          <w:p>
            <w:pPr>
              <w:ind w:left="360"/>
              <w:spacing w:after="0"/>
              <w:rPr>
                <w:sz w:val="20"/>
                <w:szCs w:val="20"/>
                <w:color w:val="auto"/>
              </w:rPr>
            </w:pPr>
            <w:r>
              <w:rPr>
                <w:rFonts w:ascii="Arial" w:cs="Arial" w:eastAsia="Arial" w:hAnsi="Arial"/>
                <w:sz w:val="14"/>
                <w:szCs w:val="14"/>
                <w:color w:val="auto"/>
              </w:rPr>
              <w:t>Changes in assets and liabilities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8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81,353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60,259</w:t>
            </w:r>
          </w:p>
        </w:tc>
      </w:tr>
      <w:tr>
        <w:trPr>
          <w:trHeight w:val="183"/>
        </w:trPr>
        <w:tc>
          <w:tcPr>
            <w:tcW w:w="826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6,107</w:t>
            </w:r>
          </w:p>
        </w:tc>
      </w:tr>
      <w:tr>
        <w:trPr>
          <w:trHeight w:val="195"/>
        </w:trPr>
        <w:tc>
          <w:tcPr>
            <w:tcW w:w="8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commissions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3,855</w:t>
            </w:r>
          </w:p>
        </w:tc>
      </w:tr>
      <w:tr>
        <w:trPr>
          <w:trHeight w:val="183"/>
        </w:trPr>
        <w:tc>
          <w:tcPr>
            <w:tcW w:w="8260" w:type="dxa"/>
            <w:vAlign w:val="bottom"/>
          </w:tcPr>
          <w:p>
            <w:pPr>
              <w:ind w:left="460"/>
              <w:spacing w:after="0"/>
              <w:rPr>
                <w:sz w:val="20"/>
                <w:szCs w:val="20"/>
                <w:color w:val="auto"/>
              </w:rPr>
            </w:pPr>
            <w:r>
              <w:rPr>
                <w:rFonts w:ascii="Arial" w:cs="Arial" w:eastAsia="Arial" w:hAnsi="Arial"/>
                <w:sz w:val="14"/>
                <w:szCs w:val="14"/>
                <w:color w:val="auto"/>
              </w:rPr>
              <w:t>Accounts payable and accrued expenses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4,755</w:t>
            </w:r>
          </w:p>
        </w:tc>
      </w:tr>
      <w:tr>
        <w:trPr>
          <w:trHeight w:val="195"/>
        </w:trPr>
        <w:tc>
          <w:tcPr>
            <w:tcW w:w="8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Accrued compensation and related benefits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(25,569)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(9,306)</w:t>
            </w:r>
          </w:p>
        </w:tc>
      </w:tr>
      <w:tr>
        <w:trPr>
          <w:trHeight w:val="183"/>
        </w:trPr>
        <w:tc>
          <w:tcPr>
            <w:tcW w:w="8260" w:type="dxa"/>
            <w:vAlign w:val="bottom"/>
          </w:tcPr>
          <w:p>
            <w:pPr>
              <w:ind w:left="460"/>
              <w:spacing w:after="0"/>
              <w:rPr>
                <w:sz w:val="20"/>
                <w:szCs w:val="20"/>
                <w:color w:val="auto"/>
              </w:rPr>
            </w:pPr>
            <w:r>
              <w:rPr>
                <w:rFonts w:ascii="Arial" w:cs="Arial" w:eastAsia="Arial" w:hAnsi="Arial"/>
                <w:sz w:val="14"/>
                <w:szCs w:val="14"/>
                <w:color w:val="auto"/>
              </w:rPr>
              <w:t>Other current and non-current liabilities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507</w:t>
            </w:r>
          </w:p>
        </w:tc>
      </w:tr>
      <w:tr>
        <w:trPr>
          <w:trHeight w:val="195"/>
        </w:trPr>
        <w:tc>
          <w:tcPr>
            <w:tcW w:w="8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revenue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(21,799)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(27,554)</w:t>
            </w:r>
          </w:p>
        </w:tc>
      </w:tr>
      <w:tr>
        <w:trPr>
          <w:trHeight w:val="183"/>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Operating lease assets and liabilities, net</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w:t>
            </w:r>
          </w:p>
        </w:tc>
      </w:tr>
      <w:tr>
        <w:trPr>
          <w:trHeight w:val="188"/>
        </w:trPr>
        <w:tc>
          <w:tcPr>
            <w:tcW w:w="8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44,966</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8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maturities of investments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39,771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13,611</w:t>
            </w:r>
          </w:p>
        </w:tc>
      </w:tr>
      <w:tr>
        <w:trPr>
          <w:trHeight w:val="183"/>
        </w:trPr>
        <w:tc>
          <w:tcPr>
            <w:tcW w:w="8260" w:type="dxa"/>
            <w:vAlign w:val="bottom"/>
          </w:tcPr>
          <w:p>
            <w:pPr>
              <w:ind w:left="240"/>
              <w:spacing w:after="0"/>
              <w:rPr>
                <w:sz w:val="20"/>
                <w:szCs w:val="20"/>
                <w:color w:val="auto"/>
              </w:rPr>
            </w:pPr>
            <w:r>
              <w:rPr>
                <w:rFonts w:ascii="Arial" w:cs="Arial" w:eastAsia="Arial" w:hAnsi="Arial"/>
                <w:sz w:val="14"/>
                <w:szCs w:val="14"/>
                <w:color w:val="auto"/>
              </w:rPr>
              <w:t>Purchases of investments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(44,866)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(37,037)</w:t>
            </w:r>
          </w:p>
        </w:tc>
      </w:tr>
      <w:tr>
        <w:trPr>
          <w:trHeight w:val="189"/>
        </w:trPr>
        <w:tc>
          <w:tcPr>
            <w:tcW w:w="8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property and equipment</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r>
      <w:tr>
        <w:trPr>
          <w:trHeight w:val="183"/>
        </w:trPr>
        <w:tc>
          <w:tcPr>
            <w:tcW w:w="8260" w:type="dxa"/>
            <w:vAlign w:val="bottom"/>
          </w:tcPr>
          <w:p>
            <w:pPr>
              <w:ind w:left="240"/>
              <w:spacing w:after="0"/>
              <w:rPr>
                <w:sz w:val="20"/>
                <w:szCs w:val="20"/>
                <w:color w:val="auto"/>
              </w:rPr>
            </w:pPr>
            <w:r>
              <w:rPr>
                <w:rFonts w:ascii="Arial" w:cs="Arial" w:eastAsia="Arial" w:hAnsi="Arial"/>
                <w:sz w:val="14"/>
                <w:szCs w:val="14"/>
                <w:color w:val="auto"/>
              </w:rPr>
              <w:t>Net cash used by investing activities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(24,077)</w:t>
            </w:r>
          </w:p>
        </w:tc>
      </w:tr>
      <w:tr>
        <w:trPr>
          <w:trHeight w:val="195"/>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3"/>
        </w:trPr>
        <w:tc>
          <w:tcPr>
            <w:tcW w:w="8260" w:type="dxa"/>
            <w:vAlign w:val="bottom"/>
          </w:tcPr>
          <w:p>
            <w:pPr>
              <w:ind w:left="240"/>
              <w:spacing w:after="0"/>
              <w:rPr>
                <w:sz w:val="20"/>
                <w:szCs w:val="20"/>
                <w:color w:val="auto"/>
              </w:rPr>
            </w:pPr>
            <w:r>
              <w:rPr>
                <w:rFonts w:ascii="Arial" w:cs="Arial" w:eastAsia="Arial" w:hAnsi="Arial"/>
                <w:sz w:val="14"/>
                <w:szCs w:val="14"/>
                <w:color w:val="auto"/>
              </w:rPr>
              <w:t>Debt repayments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(2,500)</w:t>
            </w:r>
          </w:p>
        </w:tc>
      </w:tr>
      <w:tr>
        <w:trPr>
          <w:trHeight w:val="195"/>
        </w:trPr>
        <w:tc>
          <w:tcPr>
            <w:tcW w:w="8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common stock</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(21,808)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260" w:type="dxa"/>
            <w:vAlign w:val="bottom"/>
          </w:tcPr>
          <w:p>
            <w:pPr>
              <w:ind w:left="240"/>
              <w:spacing w:after="0"/>
              <w:rPr>
                <w:sz w:val="20"/>
                <w:szCs w:val="20"/>
                <w:color w:val="auto"/>
              </w:rPr>
            </w:pPr>
            <w:r>
              <w:rPr>
                <w:rFonts w:ascii="Arial" w:cs="Arial" w:eastAsia="Arial" w:hAnsi="Arial"/>
                <w:sz w:val="14"/>
                <w:szCs w:val="14"/>
                <w:color w:val="auto"/>
              </w:rPr>
              <w:t>Payments for employee taxes related to the net share settlement of equity awards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(3,199)</w:t>
            </w:r>
          </w:p>
        </w:tc>
      </w:tr>
      <w:tr>
        <w:trPr>
          <w:trHeight w:val="189"/>
        </w:trPr>
        <w:tc>
          <w:tcPr>
            <w:tcW w:w="8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exercise of common stock options</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183"/>
        </w:trPr>
        <w:tc>
          <w:tcPr>
            <w:tcW w:w="8260" w:type="dxa"/>
            <w:vAlign w:val="bottom"/>
          </w:tcPr>
          <w:p>
            <w:pPr>
              <w:ind w:left="240"/>
              <w:spacing w:after="0"/>
              <w:rPr>
                <w:sz w:val="20"/>
                <w:szCs w:val="20"/>
                <w:color w:val="auto"/>
              </w:rPr>
            </w:pPr>
            <w:r>
              <w:rPr>
                <w:rFonts w:ascii="Arial" w:cs="Arial" w:eastAsia="Arial" w:hAnsi="Arial"/>
                <w:sz w:val="14"/>
                <w:szCs w:val="14"/>
                <w:color w:val="auto"/>
              </w:rPr>
              <w:t>Net cash used by financing activities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(28,795)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(5,509)</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1,050</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14,215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16,430</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135,810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118,552</w:t>
            </w:r>
          </w:p>
        </w:tc>
      </w:tr>
      <w:tr>
        <w:trPr>
          <w:trHeight w:val="22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8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150,025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134,982</w:t>
            </w:r>
          </w:p>
        </w:tc>
      </w:tr>
      <w:tr>
        <w:trPr>
          <w:trHeight w:val="243"/>
        </w:trPr>
        <w:tc>
          <w:tcPr>
            <w:tcW w:w="8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8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interest</w:t>
            </w:r>
          </w:p>
        </w:tc>
        <w:tc>
          <w:tcPr>
            <w:tcW w:w="88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5,018</w:t>
            </w:r>
          </w:p>
        </w:tc>
      </w:tr>
      <w:tr>
        <w:trPr>
          <w:trHeight w:val="183"/>
        </w:trPr>
        <w:tc>
          <w:tcPr>
            <w:tcW w:w="826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880" w:type="dxa"/>
            <w:vAlign w:val="bottom"/>
          </w:tcPr>
          <w:p>
            <w:pPr>
              <w:jc w:val="right"/>
              <w:ind w:right="712"/>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1,426</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798</w:t>
            </w:r>
          </w:p>
        </w:tc>
      </w:tr>
      <w:tr>
        <w:trPr>
          <w:trHeight w:val="195"/>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non-cash investing and financing information:</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7"/>
        </w:trPr>
        <w:tc>
          <w:tcPr>
            <w:tcW w:w="8260" w:type="dxa"/>
            <w:vAlign w:val="bottom"/>
          </w:tcPr>
          <w:p>
            <w:pPr>
              <w:ind w:left="240"/>
              <w:spacing w:after="0"/>
              <w:rPr>
                <w:sz w:val="20"/>
                <w:szCs w:val="20"/>
                <w:color w:val="auto"/>
              </w:rPr>
            </w:pPr>
            <w:r>
              <w:rPr>
                <w:rFonts w:ascii="Arial" w:cs="Arial" w:eastAsia="Arial" w:hAnsi="Arial"/>
                <w:sz w:val="14"/>
                <w:szCs w:val="14"/>
                <w:color w:val="auto"/>
              </w:rPr>
              <w:t>Accrued capital expenditures</w:t>
            </w:r>
          </w:p>
        </w:tc>
        <w:tc>
          <w:tcPr>
            <w:tcW w:w="880" w:type="dxa"/>
            <w:vAlign w:val="bottom"/>
          </w:tcPr>
          <w:p>
            <w:pPr>
              <w:jc w:val="right"/>
              <w:ind w:right="712"/>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784</w:t>
            </w:r>
          </w:p>
        </w:tc>
      </w:tr>
    </w:tbl>
    <w:p>
      <w:pPr>
        <w:sectPr>
          <w:pgSz w:w="11900" w:h="16838" w:orient="portrait"/>
          <w:cols w:equalWidth="0" w:num="1">
            <w:col w:w="11240"/>
          </w:cols>
          <w:pgMar w:left="320" w:top="127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color w:val="auto"/>
          <w:highlight w:val="black"/>
        </w:rPr>
        <w:t>APPIAN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RECONCILIATION OF GAAP MEASURES TO NON-GAAP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2"/>
                <w:szCs w:val="12"/>
                <w:color w:val="auto"/>
                <w:highlight w:val="black"/>
                <w:w w:val="96"/>
              </w:rPr>
              <w:t>Stock-Based</w:t>
            </w:r>
          </w:p>
        </w:tc>
        <w:tc>
          <w:tcPr>
            <w:tcW w:w="16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2"/>
                <w:szCs w:val="12"/>
                <w:color w:val="auto"/>
                <w:highlight w:val="black"/>
              </w:rPr>
              <w:t>Litigation</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2"/>
                <w:szCs w:val="12"/>
                <w:color w:val="auto"/>
                <w:highlight w:val="black"/>
              </w:rPr>
              <w:t>Lease Impairment</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2"/>
                <w:szCs w:val="12"/>
                <w:color w:val="auto"/>
                <w:highlight w:val="black"/>
              </w:rPr>
              <w:t>Unrealized Foreign</w:t>
            </w:r>
          </w:p>
        </w:tc>
        <w:tc>
          <w:tcPr>
            <w:tcW w:w="140" w:type="dxa"/>
            <w:vAlign w:val="bottom"/>
          </w:tcPr>
          <w:p>
            <w:pPr>
              <w:spacing w:after="0"/>
              <w:rPr>
                <w:sz w:val="12"/>
                <w:szCs w:val="12"/>
                <w:color w:val="auto"/>
              </w:rPr>
            </w:pPr>
          </w:p>
        </w:tc>
        <w:tc>
          <w:tcPr>
            <w:tcW w:w="820" w:type="dxa"/>
            <w:vAlign w:val="bottom"/>
            <w:vMerge w:val="restart"/>
          </w:tcPr>
          <w:p>
            <w:pPr>
              <w:jc w:val="right"/>
              <w:ind w:right="139"/>
              <w:spacing w:after="0"/>
              <w:rPr>
                <w:sz w:val="20"/>
                <w:szCs w:val="20"/>
                <w:color w:val="auto"/>
              </w:rPr>
            </w:pPr>
            <w:r>
              <w:rPr>
                <w:rFonts w:ascii="Arial" w:cs="Arial" w:eastAsia="Arial" w:hAnsi="Arial"/>
                <w:sz w:val="12"/>
                <w:szCs w:val="12"/>
                <w:color w:val="auto"/>
                <w:highlight w:val="black"/>
              </w:rPr>
              <w:t>Non-GAAP</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highlight w:val="black"/>
              </w:rPr>
              <w:t>and Lease-Related</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2"/>
                <w:szCs w:val="12"/>
                <w:color w:val="auto"/>
              </w:rPr>
              <w:t>Exchange Rate Gains</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040" w:type="dxa"/>
            <w:vAlign w:val="bottom"/>
            <w:gridSpan w:val="3"/>
          </w:tcPr>
          <w:p>
            <w:pPr>
              <w:ind w:left="60"/>
              <w:spacing w:after="0" w:line="123" w:lineRule="exact"/>
              <w:rPr>
                <w:sz w:val="20"/>
                <w:szCs w:val="20"/>
                <w:color w:val="auto"/>
              </w:rPr>
            </w:pPr>
            <w:r>
              <w:rPr>
                <w:rFonts w:ascii="Arial" w:cs="Arial" w:eastAsia="Arial" w:hAnsi="Arial"/>
                <w:sz w:val="12"/>
                <w:szCs w:val="12"/>
                <w:color w:val="auto"/>
                <w:highlight w:val="black"/>
              </w:rPr>
              <w:t>GAAP Measure</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23" w:lineRule="exact"/>
              <w:rPr>
                <w:sz w:val="20"/>
                <w:szCs w:val="20"/>
                <w:color w:val="auto"/>
              </w:rPr>
            </w:pPr>
            <w:r>
              <w:rPr>
                <w:rFonts w:ascii="Arial" w:cs="Arial" w:eastAsia="Arial" w:hAnsi="Arial"/>
                <w:sz w:val="12"/>
                <w:szCs w:val="12"/>
                <w:color w:val="auto"/>
                <w:highlight w:val="black"/>
              </w:rPr>
              <w:t>Compensation</w:t>
            </w:r>
          </w:p>
        </w:tc>
        <w:tc>
          <w:tcPr>
            <w:tcW w:w="160" w:type="dxa"/>
            <w:vAlign w:val="bottom"/>
          </w:tcPr>
          <w:p>
            <w:pPr>
              <w:spacing w:after="0"/>
              <w:rPr>
                <w:sz w:val="11"/>
                <w:szCs w:val="11"/>
                <w:color w:val="auto"/>
              </w:rPr>
            </w:pPr>
          </w:p>
        </w:tc>
        <w:tc>
          <w:tcPr>
            <w:tcW w:w="900" w:type="dxa"/>
            <w:vAlign w:val="bottom"/>
            <w:gridSpan w:val="2"/>
          </w:tcPr>
          <w:p>
            <w:pPr>
              <w:jc w:val="center"/>
              <w:ind w:right="240"/>
              <w:spacing w:after="0" w:line="123" w:lineRule="exact"/>
              <w:rPr>
                <w:sz w:val="20"/>
                <w:szCs w:val="20"/>
                <w:color w:val="auto"/>
              </w:rPr>
            </w:pPr>
            <w:r>
              <w:rPr>
                <w:rFonts w:ascii="Arial" w:cs="Arial" w:eastAsia="Arial" w:hAnsi="Arial"/>
                <w:sz w:val="12"/>
                <w:szCs w:val="12"/>
                <w:color w:val="auto"/>
                <w:highlight w:val="black"/>
                <w:w w:val="98"/>
              </w:rPr>
              <w:t>Expense</w:t>
            </w:r>
          </w:p>
        </w:tc>
        <w:tc>
          <w:tcPr>
            <w:tcW w:w="120" w:type="dxa"/>
            <w:vAlign w:val="bottom"/>
          </w:tcPr>
          <w:p>
            <w:pPr>
              <w:spacing w:after="0"/>
              <w:rPr>
                <w:sz w:val="11"/>
                <w:szCs w:val="11"/>
                <w:color w:val="auto"/>
              </w:rPr>
            </w:pPr>
          </w:p>
        </w:tc>
        <w:tc>
          <w:tcPr>
            <w:tcW w:w="1160" w:type="dxa"/>
            <w:vAlign w:val="bottom"/>
            <w:gridSpan w:val="2"/>
          </w:tcPr>
          <w:p>
            <w:pPr>
              <w:ind w:left="20"/>
              <w:spacing w:after="0" w:line="123" w:lineRule="exact"/>
              <w:rPr>
                <w:sz w:val="20"/>
                <w:szCs w:val="20"/>
                <w:color w:val="auto"/>
              </w:rPr>
            </w:pPr>
            <w:r>
              <w:rPr>
                <w:rFonts w:ascii="Arial" w:cs="Arial" w:eastAsia="Arial" w:hAnsi="Arial"/>
                <w:sz w:val="12"/>
                <w:szCs w:val="12"/>
                <w:color w:val="auto"/>
                <w:highlight w:val="black"/>
              </w:rPr>
              <w:t>JPI Amortization</w:t>
            </w:r>
          </w:p>
        </w:tc>
        <w:tc>
          <w:tcPr>
            <w:tcW w:w="80" w:type="dxa"/>
            <w:vAlign w:val="bottom"/>
          </w:tcPr>
          <w:p>
            <w:pPr>
              <w:spacing w:after="0"/>
              <w:rPr>
                <w:sz w:val="11"/>
                <w:szCs w:val="11"/>
                <w:color w:val="auto"/>
              </w:rPr>
            </w:pPr>
          </w:p>
        </w:tc>
        <w:tc>
          <w:tcPr>
            <w:tcW w:w="1220" w:type="dxa"/>
            <w:vAlign w:val="bottom"/>
            <w:gridSpan w:val="2"/>
          </w:tcPr>
          <w:p>
            <w:pPr>
              <w:jc w:val="center"/>
              <w:ind w:right="180"/>
              <w:spacing w:after="0" w:line="123" w:lineRule="exact"/>
              <w:rPr>
                <w:sz w:val="20"/>
                <w:szCs w:val="20"/>
                <w:color w:val="auto"/>
              </w:rPr>
            </w:pPr>
            <w:r>
              <w:rPr>
                <w:rFonts w:ascii="Arial" w:cs="Arial" w:eastAsia="Arial" w:hAnsi="Arial"/>
                <w:sz w:val="12"/>
                <w:szCs w:val="12"/>
                <w:color w:val="auto"/>
                <w:highlight w:val="black"/>
                <w:w w:val="96"/>
              </w:rPr>
              <w:t>Charges</w:t>
            </w: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23" w:lineRule="exact"/>
              <w:rPr>
                <w:sz w:val="20"/>
                <w:szCs w:val="20"/>
                <w:color w:val="auto"/>
              </w:rPr>
            </w:pPr>
            <w:r>
              <w:rPr>
                <w:rFonts w:ascii="Arial" w:cs="Arial" w:eastAsia="Arial" w:hAnsi="Arial"/>
                <w:sz w:val="12"/>
                <w:szCs w:val="12"/>
                <w:color w:val="auto"/>
                <w:highlight w:val="black"/>
              </w:rPr>
              <w:t>and Losses</w:t>
            </w:r>
          </w:p>
        </w:tc>
        <w:tc>
          <w:tcPr>
            <w:tcW w:w="140" w:type="dxa"/>
            <w:vAlign w:val="bottom"/>
          </w:tcPr>
          <w:p>
            <w:pPr>
              <w:spacing w:after="0"/>
              <w:rPr>
                <w:sz w:val="11"/>
                <w:szCs w:val="11"/>
                <w:color w:val="auto"/>
              </w:rPr>
            </w:pPr>
          </w:p>
        </w:tc>
        <w:tc>
          <w:tcPr>
            <w:tcW w:w="820" w:type="dxa"/>
            <w:vAlign w:val="bottom"/>
          </w:tcPr>
          <w:p>
            <w:pPr>
              <w:jc w:val="right"/>
              <w:ind w:right="179"/>
              <w:spacing w:after="0" w:line="123" w:lineRule="exact"/>
              <w:rPr>
                <w:sz w:val="20"/>
                <w:szCs w:val="20"/>
                <w:color w:val="auto"/>
              </w:rPr>
            </w:pPr>
            <w:r>
              <w:rPr>
                <w:rFonts w:ascii="Arial" w:cs="Arial" w:eastAsia="Arial" w:hAnsi="Arial"/>
                <w:sz w:val="12"/>
                <w:szCs w:val="12"/>
                <w:color w:val="auto"/>
                <w:highlight w:val="black"/>
              </w:rPr>
              <w:t>Measure</w:t>
            </w:r>
          </w:p>
        </w:tc>
        <w:tc>
          <w:tcPr>
            <w:tcW w:w="0" w:type="dxa"/>
            <w:vAlign w:val="bottom"/>
          </w:tcPr>
          <w:p>
            <w:pPr>
              <w:spacing w:after="0"/>
              <w:rPr>
                <w:sz w:val="1"/>
                <w:szCs w:val="1"/>
                <w:color w:val="auto"/>
              </w:rPr>
            </w:pPr>
          </w:p>
        </w:tc>
      </w:tr>
      <w:tr>
        <w:trPr>
          <w:trHeight w:val="162"/>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Three Months Ended March 31, 2026</w:t>
            </w: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2"/>
                <w:szCs w:val="12"/>
                <w:color w:val="auto"/>
              </w:rPr>
              <w:t>Subscriptions cost of revenue</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22,904</w:t>
            </w:r>
          </w:p>
        </w:tc>
        <w:tc>
          <w:tcPr>
            <w:tcW w:w="80" w:type="dxa"/>
            <w:vAlign w:val="bottom"/>
          </w:tcPr>
          <w:p>
            <w:pPr>
              <w:spacing w:after="0"/>
              <w:rPr>
                <w:sz w:val="14"/>
                <w:szCs w:val="14"/>
                <w:color w:val="auto"/>
              </w:rPr>
            </w:pPr>
          </w:p>
        </w:tc>
        <w:tc>
          <w:tcPr>
            <w:tcW w:w="1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(559)</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22,345</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Professional services cost of revenue</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31,507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29,869</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2"/>
                <w:szCs w:val="12"/>
                <w:color w:val="auto"/>
              </w:rPr>
              <w:t>Total cost of revenue</w:t>
            </w:r>
          </w:p>
        </w:tc>
        <w:tc>
          <w:tcPr>
            <w:tcW w:w="26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54,411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(2,197)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52,214</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Sales and marketing expense</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64,619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62,216</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2"/>
                <w:szCs w:val="12"/>
                <w:color w:val="auto"/>
              </w:rPr>
              <w:t>Research and development expense</w:t>
            </w:r>
          </w:p>
        </w:tc>
        <w:tc>
          <w:tcPr>
            <w:tcW w:w="26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46,324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(3,735)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42,589</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General and administrative expense</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33,670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20,811</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2"/>
                <w:szCs w:val="12"/>
                <w:color w:val="auto"/>
              </w:rPr>
              <w:t>Total operating expense</w:t>
            </w:r>
          </w:p>
        </w:tc>
        <w:tc>
          <w:tcPr>
            <w:tcW w:w="26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144,613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(9,692)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(6,948)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125,616</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income</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3,156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11,889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24,350</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2"/>
                <w:szCs w:val="12"/>
                <w:color w:val="auto"/>
              </w:rPr>
              <w:t>Non-operating income</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(932)</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impact of above items</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593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507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1,299</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2"/>
                <w:szCs w:val="12"/>
                <w:color w:val="auto"/>
              </w:rPr>
              <w:t>Net (loss) income</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Arial" w:cs="Arial" w:eastAsia="Arial" w:hAnsi="Arial"/>
                <w:sz w:val="12"/>
                <w:szCs w:val="12"/>
                <w:color w:val="auto"/>
              </w:rPr>
              <w:t>11,382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6,948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19,811</w:t>
            </w:r>
          </w:p>
        </w:tc>
        <w:tc>
          <w:tcPr>
            <w:tcW w:w="0" w:type="dxa"/>
            <w:vAlign w:val="bottom"/>
          </w:tcPr>
          <w:p>
            <w:pPr>
              <w:spacing w:after="0"/>
              <w:rPr>
                <w:sz w:val="1"/>
                <w:szCs w:val="1"/>
                <w:color w:val="auto"/>
              </w:rPr>
            </w:pPr>
          </w:p>
        </w:tc>
      </w:tr>
      <w:tr>
        <w:trPr>
          <w:trHeight w:val="163"/>
        </w:trPr>
        <w:tc>
          <w:tcPr>
            <w:tcW w:w="2820" w:type="dxa"/>
            <w:vAlign w:val="bottom"/>
            <w:tcBorders>
              <w:bottom w:val="single" w:sz="8" w:color="CCEEFF"/>
            </w:tcBorders>
            <w:shd w:val="clear" w:color="auto" w:fill="CCEEFF"/>
          </w:tcPr>
          <w:p>
            <w:pPr>
              <w:ind w:left="140"/>
              <w:spacing w:after="0" w:line="128" w:lineRule="exact"/>
              <w:rPr>
                <w:sz w:val="20"/>
                <w:szCs w:val="20"/>
                <w:color w:val="auto"/>
              </w:rPr>
            </w:pPr>
            <w:r>
              <w:rPr>
                <w:rFonts w:ascii="Arial" w:cs="Arial" w:eastAsia="Arial" w:hAnsi="Arial"/>
                <w:sz w:val="12"/>
                <w:szCs w:val="12"/>
                <w:color w:val="auto"/>
              </w:rPr>
              <w:t>Net (loss) income per share, basic</w:t>
            </w:r>
            <w:r>
              <w:rPr>
                <w:rFonts w:ascii="Arial" w:cs="Arial" w:eastAsia="Arial" w:hAnsi="Arial"/>
                <w:sz w:val="8"/>
                <w:szCs w:val="8"/>
                <w:color w:val="515159"/>
              </w:rPr>
              <w:t>(c)</w:t>
            </w:r>
          </w:p>
        </w:tc>
        <w:tc>
          <w:tcPr>
            <w:tcW w:w="260" w:type="dxa"/>
            <w:vAlign w:val="bottom"/>
            <w:tcBorders>
              <w:bottom w:val="single" w:sz="8" w:color="CCEEFF"/>
            </w:tcBorders>
            <w:shd w:val="clear" w:color="auto" w:fill="CCEEFF"/>
          </w:tcPr>
          <w:p>
            <w:pPr>
              <w:jc w:val="right"/>
              <w:ind w:right="119"/>
              <w:spacing w:after="0" w:line="102" w:lineRule="exact"/>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(0.02)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19"/>
              <w:spacing w:after="0" w:line="102" w:lineRule="exact"/>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19"/>
              <w:spacing w:after="0" w:line="102" w:lineRule="exact"/>
              <w:rPr>
                <w:sz w:val="20"/>
                <w:szCs w:val="20"/>
                <w:color w:val="auto"/>
              </w:rPr>
            </w:pPr>
            <w:r>
              <w:rPr>
                <w:rFonts w:ascii="Arial" w:cs="Arial" w:eastAsia="Arial" w:hAnsi="Arial"/>
                <w:sz w:val="11"/>
                <w:szCs w:val="11"/>
                <w:color w:val="auto"/>
              </w:rPr>
              <w:t>0.15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0.09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0.03</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gridSpan w:val="2"/>
            <w:shd w:val="clear" w:color="auto" w:fill="CCEEFF"/>
          </w:tcPr>
          <w:p>
            <w:pPr>
              <w:jc w:val="right"/>
              <w:ind w:right="160"/>
              <w:spacing w:after="0" w:line="10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0.01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0.27</w:t>
            </w:r>
          </w:p>
        </w:tc>
        <w:tc>
          <w:tcPr>
            <w:tcW w:w="0" w:type="dxa"/>
            <w:vAlign w:val="bottom"/>
          </w:tcPr>
          <w:p>
            <w:pPr>
              <w:spacing w:after="0"/>
              <w:rPr>
                <w:sz w:val="1"/>
                <w:szCs w:val="1"/>
                <w:color w:val="auto"/>
              </w:rPr>
            </w:pPr>
          </w:p>
        </w:tc>
      </w:tr>
      <w:tr>
        <w:trPr>
          <w:trHeight w:val="175"/>
        </w:trPr>
        <w:tc>
          <w:tcPr>
            <w:tcW w:w="2820" w:type="dxa"/>
            <w:vAlign w:val="bottom"/>
          </w:tcPr>
          <w:p>
            <w:pPr>
              <w:ind w:left="140"/>
              <w:spacing w:after="0" w:line="175" w:lineRule="exact"/>
              <w:rPr>
                <w:sz w:val="20"/>
                <w:szCs w:val="20"/>
                <w:color w:val="auto"/>
              </w:rPr>
            </w:pPr>
            <w:r>
              <w:rPr>
                <w:rFonts w:ascii="Arial" w:cs="Arial" w:eastAsia="Arial" w:hAnsi="Arial"/>
                <w:sz w:val="12"/>
                <w:szCs w:val="12"/>
                <w:color w:val="auto"/>
              </w:rPr>
              <w:t>Net (loss) income per share, diluted</w:t>
            </w:r>
            <w:r>
              <w:rPr>
                <w:rFonts w:ascii="Arial" w:cs="Arial" w:eastAsia="Arial" w:hAnsi="Arial"/>
                <w:sz w:val="16"/>
                <w:szCs w:val="16"/>
                <w:color w:val="515159"/>
                <w:vertAlign w:val="superscript"/>
              </w:rPr>
              <w:t>(a,c)</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(0.02)</w:t>
            </w:r>
          </w:p>
        </w:tc>
        <w:tc>
          <w:tcPr>
            <w:tcW w:w="80" w:type="dxa"/>
            <w:vAlign w:val="bottom"/>
          </w:tcPr>
          <w:p>
            <w:pPr>
              <w:spacing w:after="0"/>
              <w:rPr>
                <w:sz w:val="15"/>
                <w:szCs w:val="15"/>
                <w:color w:val="auto"/>
              </w:rPr>
            </w:pPr>
          </w:p>
        </w:tc>
        <w:tc>
          <w:tcPr>
            <w:tcW w:w="1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9"/>
              <w:spacing w:after="0"/>
              <w:rPr>
                <w:sz w:val="20"/>
                <w:szCs w:val="20"/>
                <w:color w:val="auto"/>
              </w:rPr>
            </w:pPr>
            <w:r>
              <w:rPr>
                <w:rFonts w:ascii="Arial" w:cs="Arial" w:eastAsia="Arial" w:hAnsi="Arial"/>
                <w:sz w:val="12"/>
                <w:szCs w:val="12"/>
                <w:color w:val="auto"/>
              </w:rPr>
              <w:t>0.15</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0.09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0.01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0.27</w:t>
            </w: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2"/>
                <w:szCs w:val="12"/>
                <w:color w:val="auto"/>
              </w:rPr>
              <w:t>Three Months Ended March 31, 2025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Subscriptions cost of revenue</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18,521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18,023</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2"/>
                <w:szCs w:val="12"/>
                <w:color w:val="auto"/>
              </w:rPr>
              <w:t>Professional services cost of revenue</w:t>
            </w:r>
          </w:p>
        </w:tc>
        <w:tc>
          <w:tcPr>
            <w:tcW w:w="26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25,519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(1,456)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24,063</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cost of revenue</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44,040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42,086</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2"/>
                <w:szCs w:val="12"/>
                <w:color w:val="auto"/>
              </w:rPr>
              <w:t>Sales and marketing expense</w:t>
            </w:r>
          </w:p>
        </w:tc>
        <w:tc>
          <w:tcPr>
            <w:tcW w:w="26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56,310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(2,246)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54,064</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Research and development expense</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41,830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38,816</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2"/>
                <w:szCs w:val="12"/>
                <w:color w:val="auto"/>
              </w:rPr>
              <w:t>General and administrative expense</w:t>
            </w:r>
          </w:p>
        </w:tc>
        <w:tc>
          <w:tcPr>
            <w:tcW w:w="26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25,080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(2,825)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17,147</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operating expense</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123,220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(8,085)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110,027</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2"/>
                <w:szCs w:val="12"/>
                <w:color w:val="auto"/>
              </w:rPr>
              <w:t>Operating (loss) income</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Arial" w:cs="Arial" w:eastAsia="Arial" w:hAnsi="Arial"/>
                <w:sz w:val="12"/>
                <w:szCs w:val="12"/>
                <w:color w:val="auto"/>
              </w:rPr>
              <w:t>10,039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14,313</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Non-operating (income) expense</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2"/>
                <w:szCs w:val="12"/>
                <w:color w:val="auto"/>
              </w:rPr>
              <w:t>Income tax impact of above items</w:t>
            </w:r>
          </w:p>
        </w:tc>
        <w:tc>
          <w:tcPr>
            <w:tcW w:w="26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741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Arial" w:cs="Arial" w:eastAsia="Arial" w:hAnsi="Arial"/>
                <w:sz w:val="12"/>
                <w:szCs w:val="12"/>
                <w:color w:val="auto"/>
              </w:rPr>
              <w:t>455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929</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income</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9,584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9,766</w:t>
            </w:r>
          </w:p>
        </w:tc>
        <w:tc>
          <w:tcPr>
            <w:tcW w:w="0" w:type="dxa"/>
            <w:vAlign w:val="bottom"/>
          </w:tcPr>
          <w:p>
            <w:pPr>
              <w:spacing w:after="0"/>
              <w:rPr>
                <w:sz w:val="1"/>
                <w:szCs w:val="1"/>
                <w:color w:val="auto"/>
              </w:rPr>
            </w:pPr>
          </w:p>
        </w:tc>
      </w:tr>
      <w:tr>
        <w:trPr>
          <w:trHeight w:val="175"/>
        </w:trPr>
        <w:tc>
          <w:tcPr>
            <w:tcW w:w="2820" w:type="dxa"/>
            <w:vAlign w:val="bottom"/>
          </w:tcPr>
          <w:p>
            <w:pPr>
              <w:ind w:left="140"/>
              <w:spacing w:after="0" w:line="175" w:lineRule="exact"/>
              <w:rPr>
                <w:sz w:val="20"/>
                <w:szCs w:val="20"/>
                <w:color w:val="auto"/>
              </w:rPr>
            </w:pPr>
            <w:r>
              <w:rPr>
                <w:rFonts w:ascii="Arial" w:cs="Arial" w:eastAsia="Arial" w:hAnsi="Arial"/>
                <w:sz w:val="12"/>
                <w:szCs w:val="12"/>
                <w:color w:val="auto"/>
              </w:rPr>
              <w:t>Net (loss) income per share, basic</w:t>
            </w:r>
            <w:r>
              <w:rPr>
                <w:rFonts w:ascii="Arial" w:cs="Arial" w:eastAsia="Arial" w:hAnsi="Arial"/>
                <w:sz w:val="16"/>
                <w:szCs w:val="16"/>
                <w:color w:val="515159"/>
                <w:vertAlign w:val="superscript"/>
              </w:rPr>
              <w:t>(c)</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(0.02)</w:t>
            </w:r>
          </w:p>
        </w:tc>
        <w:tc>
          <w:tcPr>
            <w:tcW w:w="80" w:type="dxa"/>
            <w:vAlign w:val="bottom"/>
          </w:tcPr>
          <w:p>
            <w:pPr>
              <w:spacing w:after="0"/>
              <w:rPr>
                <w:sz w:val="15"/>
                <w:szCs w:val="15"/>
                <w:color w:val="auto"/>
              </w:rPr>
            </w:pPr>
          </w:p>
        </w:tc>
        <w:tc>
          <w:tcPr>
            <w:tcW w:w="1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9"/>
              <w:spacing w:after="0"/>
              <w:rPr>
                <w:sz w:val="20"/>
                <w:szCs w:val="20"/>
                <w:color w:val="auto"/>
              </w:rPr>
            </w:pPr>
            <w:r>
              <w:rPr>
                <w:rFonts w:ascii="Arial" w:cs="Arial" w:eastAsia="Arial" w:hAnsi="Arial"/>
                <w:sz w:val="12"/>
                <w:szCs w:val="12"/>
                <w:color w:val="auto"/>
              </w:rPr>
              <w:t>0.13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0.04</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(0.05)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0.13</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140"/>
              <w:spacing w:after="0" w:line="175" w:lineRule="exact"/>
              <w:rPr>
                <w:sz w:val="20"/>
                <w:szCs w:val="20"/>
                <w:color w:val="auto"/>
              </w:rPr>
            </w:pPr>
            <w:r>
              <w:rPr>
                <w:rFonts w:ascii="Arial" w:cs="Arial" w:eastAsia="Arial" w:hAnsi="Arial"/>
                <w:sz w:val="12"/>
                <w:szCs w:val="12"/>
                <w:color w:val="auto"/>
              </w:rPr>
              <w:t>Net (loss) income per share, diluted</w:t>
            </w:r>
            <w:r>
              <w:rPr>
                <w:rFonts w:ascii="Arial" w:cs="Arial" w:eastAsia="Arial" w:hAnsi="Arial"/>
                <w:sz w:val="16"/>
                <w:szCs w:val="16"/>
                <w:color w:val="515159"/>
                <w:vertAlign w:val="superscript"/>
              </w:rPr>
              <w:t>(b,c)</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0.13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0.13</w:t>
            </w:r>
          </w:p>
        </w:tc>
        <w:tc>
          <w:tcPr>
            <w:tcW w:w="0" w:type="dxa"/>
            <w:vAlign w:val="bottom"/>
          </w:tcPr>
          <w:p>
            <w:pPr>
              <w:spacing w:after="0"/>
              <w:rPr>
                <w:sz w:val="1"/>
                <w:szCs w:val="1"/>
                <w:color w:val="auto"/>
              </w:rPr>
            </w:pPr>
          </w:p>
        </w:tc>
      </w:tr>
    </w:tbl>
    <w:p>
      <w:pPr>
        <w:ind w:left="180" w:hanging="172"/>
        <w:spacing w:after="0" w:line="213" w:lineRule="auto"/>
        <w:tabs>
          <w:tab w:leader="none" w:pos="180" w:val="left"/>
        </w:tabs>
        <w:numPr>
          <w:ilvl w:val="0"/>
          <w:numId w:val="5"/>
        </w:numPr>
        <w:rPr>
          <w:rFonts w:ascii="Arial" w:cs="Arial" w:eastAsia="Arial" w:hAnsi="Arial"/>
          <w:sz w:val="21"/>
          <w:szCs w:val="21"/>
          <w:color w:val="515159"/>
          <w:vertAlign w:val="superscript"/>
        </w:rPr>
      </w:pPr>
      <w:r>
        <w:rPr>
          <w:rFonts w:ascii="Arial" w:cs="Arial" w:eastAsia="Arial" w:hAnsi="Arial"/>
          <w:sz w:val="12"/>
          <w:szCs w:val="12"/>
          <w:color w:val="auto"/>
        </w:rPr>
        <w:t>Accounts for the impact of 0.6 million shares of dilutive securities.</w:t>
      </w:r>
    </w:p>
    <w:p>
      <w:pPr>
        <w:ind w:left="180" w:hanging="172"/>
        <w:spacing w:after="0" w:line="187" w:lineRule="auto"/>
        <w:tabs>
          <w:tab w:leader="none" w:pos="180" w:val="left"/>
        </w:tabs>
        <w:numPr>
          <w:ilvl w:val="0"/>
          <w:numId w:val="5"/>
        </w:numPr>
        <w:rPr>
          <w:rFonts w:ascii="Arial" w:cs="Arial" w:eastAsia="Arial" w:hAnsi="Arial"/>
          <w:sz w:val="18"/>
          <w:szCs w:val="18"/>
          <w:color w:val="515159"/>
          <w:vertAlign w:val="superscript"/>
        </w:rPr>
      </w:pPr>
      <w:r>
        <w:rPr>
          <w:rFonts w:ascii="Arial" w:cs="Arial" w:eastAsia="Arial" w:hAnsi="Arial"/>
          <w:sz w:val="11"/>
          <w:szCs w:val="11"/>
          <w:color w:val="auto"/>
        </w:rPr>
        <w:t>Accounts for the impact of 0.4 million shares of dilutive securities.</w:t>
      </w:r>
    </w:p>
    <w:p>
      <w:pPr>
        <w:ind w:left="160" w:hanging="152"/>
        <w:spacing w:after="0" w:line="192" w:lineRule="auto"/>
        <w:tabs>
          <w:tab w:leader="none" w:pos="160" w:val="left"/>
        </w:tabs>
        <w:numPr>
          <w:ilvl w:val="0"/>
          <w:numId w:val="5"/>
        </w:numPr>
        <w:rPr>
          <w:rFonts w:ascii="Arial" w:cs="Arial" w:eastAsia="Arial" w:hAnsi="Arial"/>
          <w:sz w:val="19"/>
          <w:szCs w:val="19"/>
          <w:color w:val="515159"/>
          <w:vertAlign w:val="superscript"/>
        </w:rPr>
      </w:pPr>
      <w:r>
        <w:rPr>
          <w:rFonts w:ascii="Arial" w:cs="Arial" w:eastAsia="Arial" w:hAnsi="Arial"/>
          <w:sz w:val="11"/>
          <w:szCs w:val="11"/>
          <w:color w:val="auto"/>
        </w:rPr>
        <w:t>Per share amounts do not foot due to rounding.</w:t>
      </w:r>
    </w:p>
    <w:p>
      <w:pPr>
        <w:sectPr>
          <w:pgSz w:w="11900" w:h="16838" w:orient="portrait"/>
          <w:cols w:equalWidth="0" w:num="1">
            <w:col w:w="11240"/>
          </w:cols>
          <w:pgMar w:left="320" w:top="127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6"/>
                <w:szCs w:val="16"/>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210"/>
        </w:trPr>
        <w:tc>
          <w:tcPr>
            <w:tcW w:w="75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highlight w:val="black"/>
              </w:rPr>
              <w:t>2026</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highlight w:val="black"/>
              </w:rPr>
              <w:t>2025</w:t>
            </w:r>
          </w:p>
        </w:tc>
        <w:tc>
          <w:tcPr>
            <w:tcW w:w="640" w:type="dxa"/>
            <w:vAlign w:val="bottom"/>
            <w:tcBorders>
              <w:bottom w:val="single" w:sz="8" w:color="auto"/>
            </w:tcBorders>
          </w:tcPr>
          <w:p>
            <w:pPr>
              <w:spacing w:after="0"/>
              <w:rPr>
                <w:sz w:val="18"/>
                <w:szCs w:val="18"/>
                <w:color w:val="auto"/>
              </w:rPr>
            </w:pPr>
          </w:p>
        </w:tc>
      </w:tr>
      <w:tr>
        <w:trPr>
          <w:trHeight w:val="20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adjusted EBITDA:</w:t>
            </w: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2"/>
        </w:trPr>
        <w:tc>
          <w:tcPr>
            <w:tcW w:w="7520" w:type="dxa"/>
            <w:vAlign w:val="bottom"/>
          </w:tcPr>
          <w:p>
            <w:pPr>
              <w:ind w:left="140"/>
              <w:spacing w:after="0"/>
              <w:rPr>
                <w:sz w:val="20"/>
                <w:szCs w:val="20"/>
                <w:color w:val="auto"/>
              </w:rPr>
            </w:pPr>
            <w:r>
              <w:rPr>
                <w:rFonts w:ascii="Arial" w:cs="Arial" w:eastAsia="Arial" w:hAnsi="Arial"/>
                <w:sz w:val="16"/>
                <w:szCs w:val="16"/>
                <w:color w:val="auto"/>
              </w:rPr>
              <w:t>GAAP net loss</w:t>
            </w:r>
          </w:p>
        </w:tc>
        <w:tc>
          <w:tcPr>
            <w:tcW w:w="1160" w:type="dxa"/>
            <w:vAlign w:val="bottom"/>
          </w:tcPr>
          <w:p>
            <w:pPr>
              <w:jc w:val="right"/>
              <w:ind w:right="98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(1,525)</w:t>
            </w:r>
          </w:p>
        </w:tc>
        <w:tc>
          <w:tcPr>
            <w:tcW w:w="120" w:type="dxa"/>
            <w:vAlign w:val="bottom"/>
          </w:tcPr>
          <w:p>
            <w:pPr>
              <w:spacing w:after="0"/>
              <w:rPr>
                <w:sz w:val="18"/>
                <w:szCs w:val="18"/>
                <w:color w:val="auto"/>
              </w:rPr>
            </w:pPr>
          </w:p>
        </w:tc>
        <w:tc>
          <w:tcPr>
            <w:tcW w:w="1160" w:type="dxa"/>
            <w:vAlign w:val="bottom"/>
          </w:tcPr>
          <w:p>
            <w:pPr>
              <w:jc w:val="right"/>
              <w:ind w:right="98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(1,177)</w:t>
            </w:r>
          </w:p>
        </w:tc>
      </w:tr>
      <w:tr>
        <w:trPr>
          <w:trHeight w:val="220"/>
        </w:trPr>
        <w:tc>
          <w:tcPr>
            <w:tcW w:w="7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w:t>
            </w:r>
          </w:p>
        </w:tc>
      </w:tr>
      <w:tr>
        <w:trPr>
          <w:trHeight w:val="212"/>
        </w:trPr>
        <w:tc>
          <w:tcPr>
            <w:tcW w:w="75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1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4,172</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5,318</w:t>
            </w:r>
          </w:p>
        </w:tc>
      </w:tr>
      <w:tr>
        <w:trPr>
          <w:trHeight w:val="220"/>
        </w:trPr>
        <w:tc>
          <w:tcPr>
            <w:tcW w:w="7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expense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741</w:t>
            </w:r>
          </w:p>
        </w:tc>
      </w:tr>
      <w:tr>
        <w:trPr>
          <w:trHeight w:val="212"/>
        </w:trPr>
        <w:tc>
          <w:tcPr>
            <w:tcW w:w="7520" w:type="dxa"/>
            <w:vAlign w:val="bottom"/>
          </w:tcPr>
          <w:p>
            <w:pPr>
              <w:ind w:left="240"/>
              <w:spacing w:after="0"/>
              <w:rPr>
                <w:sz w:val="20"/>
                <w:szCs w:val="20"/>
                <w:color w:val="auto"/>
              </w:rPr>
            </w:pPr>
            <w:r>
              <w:rPr>
                <w:rFonts w:ascii="Arial" w:cs="Arial" w:eastAsia="Arial" w:hAnsi="Arial"/>
                <w:sz w:val="16"/>
                <w:szCs w:val="16"/>
                <w:color w:val="auto"/>
              </w:rPr>
              <w:t>Depreciation expense and amortization of intangible assets</w:t>
            </w:r>
          </w:p>
        </w:tc>
        <w:tc>
          <w:tcPr>
            <w:tcW w:w="11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2,273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2,446</w:t>
            </w:r>
          </w:p>
        </w:tc>
      </w:tr>
      <w:tr>
        <w:trPr>
          <w:trHeight w:val="220"/>
        </w:trPr>
        <w:tc>
          <w:tcPr>
            <w:tcW w:w="7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11,889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10,039</w:t>
            </w:r>
          </w:p>
        </w:tc>
      </w:tr>
      <w:tr>
        <w:trPr>
          <w:trHeight w:val="212"/>
        </w:trPr>
        <w:tc>
          <w:tcPr>
            <w:tcW w:w="7520" w:type="dxa"/>
            <w:vAlign w:val="bottom"/>
          </w:tcPr>
          <w:p>
            <w:pPr>
              <w:ind w:left="240"/>
              <w:spacing w:after="0"/>
              <w:rPr>
                <w:sz w:val="20"/>
                <w:szCs w:val="20"/>
                <w:color w:val="auto"/>
              </w:rPr>
            </w:pPr>
            <w:r>
              <w:rPr>
                <w:rFonts w:ascii="Arial" w:cs="Arial" w:eastAsia="Arial" w:hAnsi="Arial"/>
                <w:sz w:val="16"/>
                <w:szCs w:val="16"/>
                <w:color w:val="auto"/>
              </w:rPr>
              <w:t>Litigation Expense</w:t>
            </w:r>
          </w:p>
        </w:tc>
        <w:tc>
          <w:tcPr>
            <w:tcW w:w="11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6,948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1,712</w:t>
            </w:r>
          </w:p>
        </w:tc>
      </w:tr>
      <w:tr>
        <w:trPr>
          <w:trHeight w:val="220"/>
        </w:trPr>
        <w:tc>
          <w:tcPr>
            <w:tcW w:w="7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JPI Amortization</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3,084</w:t>
            </w:r>
          </w:p>
        </w:tc>
      </w:tr>
      <w:tr>
        <w:trPr>
          <w:trHeight w:val="212"/>
        </w:trPr>
        <w:tc>
          <w:tcPr>
            <w:tcW w:w="7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Lease Impairment and Lease-Related Charges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312</w:t>
            </w:r>
          </w:p>
        </w:tc>
      </w:tr>
      <w:tr>
        <w:trPr>
          <w:trHeight w:val="22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26,623</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16,759</w:t>
            </w:r>
          </w:p>
        </w:tc>
      </w:tr>
      <w:tr>
        <w:trPr>
          <w:trHeight w:val="20"/>
        </w:trPr>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2026-05-07T06:25:49Z</dcterms:created>
  <dcterms:modified xsi:type="dcterms:W3CDTF">2026-05-07T06:25:49Z</dcterms:modified>
</cp:coreProperties>
</file>