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64770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-127635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4" w:lineRule="exact"/>
        <w:rPr>
          <w:sz w:val="24"/>
          <w:szCs w:val="24"/>
          <w:color w:val="auto"/>
        </w:rPr>
      </w:pPr>
    </w:p>
    <w:p>
      <w:pPr>
        <w:ind w:left="560" w:right="300" w:hanging="552"/>
        <w:spacing w:after="0" w:line="237"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60" w:right="280" w:hanging="552"/>
        <w:spacing w:after="0" w:line="256"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-7620</wp:posOffset>
            </wp:positionV>
            <wp:extent cx="609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9600" cy="8890"/>
                    </a:xfrm>
                    <a:prstGeom prst="rect">
                      <a:avLst/>
                    </a:prstGeom>
                    <a:noFill/>
                  </pic:spPr>
                </pic:pic>
              </a:graphicData>
            </a:graphic>
          </wp:anchor>
        </w:drawing>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77470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APPIAN CORPORATION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64770</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72"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466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060" w:type="dxa"/>
            <w:vAlign w:val="bottom"/>
          </w:tcPr>
          <w:p>
            <w:pPr>
              <w:jc w:val="right"/>
              <w:ind w:right="41"/>
              <w:spacing w:after="0"/>
              <w:rPr>
                <w:sz w:val="20"/>
                <w:szCs w:val="20"/>
                <w:color w:val="auto"/>
              </w:rPr>
            </w:pPr>
            <w:r>
              <w:rPr>
                <w:rFonts w:ascii="Arial" w:cs="Arial" w:eastAsia="Arial" w:hAnsi="Arial"/>
                <w:sz w:val="18"/>
                <w:szCs w:val="18"/>
                <w:b w:val="1"/>
                <w:bCs w:val="1"/>
                <w:color w:val="auto"/>
              </w:rPr>
              <w:t>54-1956084</w:t>
            </w:r>
          </w:p>
        </w:tc>
      </w:tr>
      <w:tr>
        <w:trPr>
          <w:trHeight w:val="149"/>
        </w:trPr>
        <w:tc>
          <w:tcPr>
            <w:tcW w:w="4660" w:type="dxa"/>
            <w:vAlign w:val="bottom"/>
          </w:tcPr>
          <w:p>
            <w:pPr>
              <w:jc w:val="center"/>
              <w:ind w:right="187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3"/>
              </w:rPr>
              <w:t>incorporation or organization)</w:t>
            </w:r>
          </w:p>
        </w:tc>
        <w:tc>
          <w:tcPr>
            <w:tcW w:w="3060" w:type="dxa"/>
            <w:vAlign w:val="bottom"/>
          </w:tcPr>
          <w:p>
            <w:pPr>
              <w:jc w:val="center"/>
              <w:ind w:left="186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466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11955 Democracy Drive, Suite 1700</w:t>
            </w:r>
          </w:p>
        </w:tc>
        <w:tc>
          <w:tcPr>
            <w:tcW w:w="3060" w:type="dxa"/>
            <w:vAlign w:val="bottom"/>
          </w:tcPr>
          <w:p>
            <w:pPr>
              <w:spacing w:after="0"/>
              <w:rPr>
                <w:sz w:val="24"/>
                <w:szCs w:val="24"/>
                <w:color w:val="auto"/>
              </w:rPr>
            </w:pPr>
          </w:p>
        </w:tc>
      </w:tr>
      <w:tr>
        <w:trPr>
          <w:trHeight w:val="212"/>
        </w:trPr>
        <w:tc>
          <w:tcPr>
            <w:tcW w:w="466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Reston, VA</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20190</w:t>
            </w:r>
          </w:p>
        </w:tc>
      </w:tr>
      <w:tr>
        <w:trPr>
          <w:trHeight w:val="186"/>
        </w:trPr>
        <w:tc>
          <w:tcPr>
            <w:tcW w:w="4660" w:type="dxa"/>
            <w:vAlign w:val="bottom"/>
          </w:tcPr>
          <w:p>
            <w:pPr>
              <w:jc w:val="center"/>
              <w:ind w:right="18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8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(703) 442-8844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77470</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96" w:lineRule="exact"/>
        <w:rPr>
          <w:sz w:val="24"/>
          <w:szCs w:val="24"/>
          <w:color w:val="auto"/>
        </w:rPr>
      </w:pPr>
    </w:p>
    <w:p>
      <w:pPr>
        <w:jc w:val="both"/>
        <w:ind w:right="180" w:firstLine="55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160" w:firstLine="55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120" w:firstLine="55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4900" w:type="dxa"/>
            <w:vAlign w:val="bottom"/>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260" w:type="dxa"/>
            <w:vAlign w:val="bottom"/>
          </w:tcPr>
          <w:p>
            <w:pPr>
              <w:ind w:left="860"/>
              <w:spacing w:after="0"/>
              <w:rPr>
                <w:sz w:val="20"/>
                <w:szCs w:val="20"/>
                <w:color w:val="auto"/>
              </w:rPr>
            </w:pPr>
            <w:r>
              <w:rPr>
                <w:rFonts w:ascii="Arial" w:cs="Arial" w:eastAsia="Arial" w:hAnsi="Arial"/>
                <w:sz w:val="18"/>
                <w:szCs w:val="18"/>
                <w:color w:val="auto"/>
              </w:rPr>
              <w:t>Small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9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60" w:lineRule="exact"/>
        <w:rPr>
          <w:sz w:val="24"/>
          <w:szCs w:val="24"/>
          <w:color w:val="auto"/>
        </w:rPr>
      </w:pPr>
    </w:p>
    <w:p>
      <w:pPr>
        <w:ind w:right="80" w:firstLine="55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560"/>
        <w:spacing w:after="0" w:line="207" w:lineRule="exact"/>
        <w:tabs>
          <w:tab w:leader="none" w:pos="95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23" w:lineRule="exact"/>
        <w:rPr>
          <w:sz w:val="24"/>
          <w:szCs w:val="24"/>
          <w:color w:val="auto"/>
        </w:rPr>
      </w:pPr>
    </w:p>
    <w:p>
      <w:pPr>
        <w:ind w:right="20" w:firstLine="555"/>
        <w:spacing w:after="0" w:line="277" w:lineRule="auto"/>
        <w:rPr>
          <w:sz w:val="20"/>
          <w:szCs w:val="20"/>
          <w:color w:val="auto"/>
        </w:rPr>
      </w:pPr>
      <w:r>
        <w:rPr>
          <w:rFonts w:ascii="Arial" w:cs="Arial" w:eastAsia="Arial" w:hAnsi="Arial"/>
          <w:sz w:val="18"/>
          <w:szCs w:val="18"/>
          <w:color w:val="auto"/>
        </w:rPr>
        <w:t>As of July 31, 2017, there were 7,198,341 shares of the registrant’s Class A common stock and 52,919,419 shares of the registrant’s Class B common stock, each with a par value of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87" w:right="29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060" w:type="dxa"/>
            <w:vAlign w:val="bottom"/>
            <w:gridSpan w:val="10"/>
            <w:vMerge w:val="restart"/>
          </w:tcPr>
          <w:p>
            <w:pPr>
              <w:spacing w:after="0"/>
              <w:rPr>
                <w:sz w:val="14"/>
                <w:szCs w:val="1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60" w:type="dxa"/>
            <w:vAlign w:val="bottom"/>
            <w:gridSpan w:val="3"/>
            <w:vMerge w:val="continue"/>
          </w:tcPr>
          <w:p>
            <w:pPr>
              <w:spacing w:after="0"/>
              <w:rPr>
                <w:sz w:val="15"/>
                <w:szCs w:val="15"/>
                <w:color w:val="auto"/>
              </w:rPr>
            </w:pPr>
          </w:p>
        </w:tc>
        <w:tc>
          <w:tcPr>
            <w:tcW w:w="2400" w:type="dxa"/>
            <w:vAlign w:val="bottom"/>
            <w:tcBorders>
              <w:bottom w:val="single" w:sz="8" w:color="0000EE"/>
            </w:tcBorders>
            <w:gridSpan w:val="13"/>
            <w:vMerge w:val="continue"/>
          </w:tcPr>
          <w:p>
            <w:pPr>
              <w:spacing w:after="0"/>
              <w:rPr>
                <w:sz w:val="15"/>
                <w:szCs w:val="15"/>
                <w:color w:val="auto"/>
              </w:rPr>
            </w:pPr>
          </w:p>
        </w:tc>
        <w:tc>
          <w:tcPr>
            <w:tcW w:w="7060" w:type="dxa"/>
            <w:vAlign w:val="bottom"/>
            <w:gridSpan w:val="10"/>
            <w:vMerge w:val="continue"/>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946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2017 (unaudited) and December 31, 2016</w:t>
              </w:r>
            </w:hyperlink>
          </w:p>
        </w:tc>
        <w:tc>
          <w:tcPr>
            <w:tcW w:w="228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Condensed Consolidated Statements of Operations for the three and six months ended June 30, 2017 and June 30, 2016</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w:t>
              </w:r>
            </w:hyperlink>
          </w:p>
        </w:tc>
        <w:tc>
          <w:tcPr>
            <w:tcW w:w="7420" w:type="dxa"/>
            <w:vAlign w:val="bottom"/>
            <w:tcBorders>
              <w:top w:val="single" w:sz="8" w:color="0000EE"/>
            </w:tcBorders>
            <w:gridSpan w:val="13"/>
          </w:tcPr>
          <w:p>
            <w:pPr>
              <w:spacing w:after="0"/>
              <w:rPr>
                <w:sz w:val="17"/>
                <w:szCs w:val="17"/>
                <w:color w:val="auto"/>
              </w:rPr>
            </w:pPr>
          </w:p>
        </w:tc>
        <w:tc>
          <w:tcPr>
            <w:tcW w:w="70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00" w:type="dxa"/>
            <w:vAlign w:val="bottom"/>
            <w:gridSpan w:val="22"/>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Comprehensive Loss for the three and six months ended June 30, 2017 and June 30,</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6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2016 (unaudited)</w:t>
              </w:r>
            </w:hyperlink>
          </w:p>
        </w:tc>
        <w:tc>
          <w:tcPr>
            <w:tcW w:w="3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Changes in Stockholders’ Equity (Deficit) for the six months ended June 30, 2017</w:t>
              </w:r>
            </w:hyperlink>
          </w:p>
        </w:tc>
        <w:tc>
          <w:tcPr>
            <w:tcW w:w="58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w:t>
              </w:r>
            </w:hyperlink>
          </w:p>
        </w:tc>
        <w:tc>
          <w:tcPr>
            <w:tcW w:w="8120" w:type="dxa"/>
            <w:vAlign w:val="bottom"/>
            <w:gridSpan w:val="1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300" w:type="dxa"/>
            <w:vAlign w:val="bottom"/>
            <w:gridSpan w:val="22"/>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for the six months ended June 30, 2017 and June 30, 2016 (unaudited)</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3940" w:type="dxa"/>
            <w:vAlign w:val="bottom"/>
            <w:tcBorders>
              <w:top w:val="single" w:sz="8" w:color="0000EE"/>
            </w:tcBorders>
            <w:gridSpan w:val="5"/>
          </w:tcPr>
          <w:p>
            <w:pPr>
              <w:spacing w:after="0"/>
              <w:rPr>
                <w:sz w:val="18"/>
                <w:szCs w:val="18"/>
                <w:color w:val="auto"/>
              </w:rPr>
            </w:pPr>
          </w:p>
        </w:tc>
        <w:tc>
          <w:tcPr>
            <w:tcW w:w="48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10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00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Controls and Procedures</w:t>
              </w:r>
            </w:hyperlink>
          </w:p>
        </w:tc>
        <w:tc>
          <w:tcPr>
            <w:tcW w:w="766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31"/>
        </w:trPr>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2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5"/>
          </w:tcPr>
          <w:p>
            <w:pPr>
              <w:spacing w:after="0"/>
              <w:rPr>
                <w:sz w:val="17"/>
                <w:szCs w:val="17"/>
                <w:color w:val="auto"/>
              </w:rPr>
            </w:pPr>
          </w:p>
        </w:tc>
        <w:tc>
          <w:tcPr>
            <w:tcW w:w="744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46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9460" w:type="dxa"/>
            <w:vAlign w:val="bottom"/>
            <w:gridSpan w:val="2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714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Other Information</w:t>
              </w:r>
            </w:hyperlink>
          </w:p>
        </w:tc>
        <w:tc>
          <w:tcPr>
            <w:tcW w:w="8140" w:type="dxa"/>
            <w:vAlign w:val="bottom"/>
            <w:gridSpan w:val="18"/>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6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9460" w:type="dxa"/>
            <w:vAlign w:val="bottom"/>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tcPr>
          <w:p>
            <w:pPr>
              <w:spacing w:after="0" w:line="176" w:lineRule="exact"/>
              <w:rPr>
                <w:rFonts w:ascii="Arial" w:cs="Arial" w:eastAsia="Arial" w:hAnsi="Arial"/>
                <w:sz w:val="18"/>
                <w:szCs w:val="18"/>
                <w:color w:val="0000EE"/>
                <w:w w:val="88"/>
              </w:rPr>
            </w:pPr>
            <w:hyperlink w:anchor="page64">
              <w:r>
                <w:rPr>
                  <w:rFonts w:ascii="Arial" w:cs="Arial" w:eastAsia="Arial" w:hAnsi="Arial"/>
                  <w:sz w:val="18"/>
                  <w:szCs w:val="18"/>
                  <w:color w:val="0000EE"/>
                  <w:w w:val="88"/>
                </w:rPr>
                <w:t>Signature</w:t>
              </w:r>
            </w:hyperlink>
          </w:p>
        </w:tc>
        <w:tc>
          <w:tcPr>
            <w:tcW w:w="36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100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Exhibit Index</w:t>
              </w:r>
            </w:hyperlink>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rPr>
              <w:t>PART I—FINANCIAL INFORMATION</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80" w:type="dxa"/>
            <w:vAlign w:val="bottom"/>
          </w:tcPr>
          <w:p>
            <w:pPr>
              <w:spacing w:after="0"/>
              <w:rPr>
                <w:sz w:val="24"/>
                <w:szCs w:val="24"/>
                <w:color w:val="auto"/>
              </w:rPr>
            </w:pPr>
          </w:p>
        </w:tc>
        <w:tc>
          <w:tcPr>
            <w:tcW w:w="728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APPIAN CORPORATION AND SUBSIDIARIES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728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7280" w:type="dxa"/>
            <w:vAlign w:val="bottom"/>
          </w:tcPr>
          <w:p>
            <w:pPr>
              <w:jc w:val="center"/>
              <w:ind w:left="1890"/>
              <w:spacing w:after="0"/>
              <w:rPr>
                <w:sz w:val="20"/>
                <w:szCs w:val="20"/>
                <w:color w:val="auto"/>
              </w:rPr>
            </w:pPr>
            <w:r>
              <w:rPr>
                <w:rFonts w:ascii="Arial" w:cs="Arial" w:eastAsia="Arial" w:hAnsi="Arial"/>
                <w:sz w:val="18"/>
                <w:szCs w:val="18"/>
                <w:i w:val="1"/>
                <w:iCs w:val="1"/>
                <w:color w:val="auto"/>
                <w:w w:val="89"/>
              </w:rPr>
              <w:t>(in thousands, except share and per share data)</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0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0"/>
              <w:spacing w:after="0" w:line="155"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7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20"/>
                <w:szCs w:val="20"/>
                <w:color w:val="auto"/>
              </w:rPr>
            </w:pPr>
            <w:r>
              <w:rPr>
                <w:rFonts w:ascii="Arial" w:cs="Arial" w:eastAsia="Arial" w:hAnsi="Arial"/>
                <w:sz w:val="16"/>
                <w:szCs w:val="16"/>
                <w:b w:val="1"/>
                <w:bCs w:val="1"/>
                <w:color w:val="auto"/>
                <w:w w:val="94"/>
              </w:rPr>
              <w:t>Current assets</w:t>
            </w:r>
          </w:p>
        </w:tc>
        <w:tc>
          <w:tcPr>
            <w:tcW w:w="7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77,654</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ind w:left="260"/>
              <w:spacing w:after="0"/>
              <w:rPr>
                <w:sz w:val="20"/>
                <w:szCs w:val="20"/>
                <w:color w:val="auto"/>
              </w:rPr>
            </w:pPr>
            <w:r>
              <w:rPr>
                <w:rFonts w:ascii="Arial" w:cs="Arial" w:eastAsia="Arial" w:hAnsi="Arial"/>
                <w:sz w:val="16"/>
                <w:szCs w:val="16"/>
                <w:color w:val="auto"/>
              </w:rPr>
              <w:t>Accounts receivable, net of allowance of $400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Deferred commissions, current</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5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gridSpan w:val="2"/>
            <w:shd w:val="clear" w:color="auto" w:fill="CFF0FC"/>
          </w:tcPr>
          <w:p>
            <w:pPr>
              <w:ind w:left="500"/>
              <w:spacing w:after="0"/>
              <w:rPr>
                <w:sz w:val="20"/>
                <w:szCs w:val="20"/>
                <w:color w:val="auto"/>
              </w:rPr>
            </w:pPr>
            <w:r>
              <w:rPr>
                <w:rFonts w:ascii="Arial" w:cs="Arial" w:eastAsia="Arial" w:hAnsi="Arial"/>
                <w:sz w:val="16"/>
                <w:szCs w:val="16"/>
                <w:b w:val="1"/>
                <w:bCs w:val="1"/>
                <w:color w:val="auto"/>
              </w:rPr>
              <w:t>Total current assets</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Deferred commissions, net of current portion</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6"/>
                <w:szCs w:val="16"/>
                <w:color w:val="auto"/>
              </w:rPr>
              <w:t>Deferred tax assets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7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7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152,667</w:t>
            </w:r>
          </w:p>
        </w:tc>
        <w:tc>
          <w:tcPr>
            <w:tcW w:w="1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102,738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8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5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7,782</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ind w:left="260"/>
              <w:spacing w:after="0"/>
              <w:rPr>
                <w:sz w:val="20"/>
                <w:szCs w:val="20"/>
                <w:color w:val="auto"/>
              </w:rPr>
            </w:pPr>
            <w:r>
              <w:rPr>
                <w:rFonts w:ascii="Arial" w:cs="Arial" w:eastAsia="Arial" w:hAnsi="Arial"/>
                <w:sz w:val="16"/>
                <w:szCs w:val="16"/>
                <w:color w:val="auto"/>
              </w:rPr>
              <w:t>Accrued expenses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Accrued compensation and related benefits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ind w:left="260"/>
              <w:spacing w:after="0"/>
              <w:rPr>
                <w:sz w:val="20"/>
                <w:szCs w:val="20"/>
                <w:color w:val="auto"/>
              </w:rPr>
            </w:pPr>
            <w:r>
              <w:rPr>
                <w:rFonts w:ascii="Arial" w:cs="Arial" w:eastAsia="Arial" w:hAnsi="Arial"/>
                <w:sz w:val="16"/>
                <w:szCs w:val="16"/>
                <w:color w:val="auto"/>
              </w:rPr>
              <w:t>Deferred revenue, current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Current portion of long-term debt</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Borders>
              <w:bottom w:val="single" w:sz="8" w:color="CFF0FC"/>
            </w:tcBorders>
            <w:gridSpan w:val="2"/>
          </w:tcPr>
          <w:p>
            <w:pPr>
              <w:ind w:left="260"/>
              <w:spacing w:after="0"/>
              <w:rPr>
                <w:sz w:val="20"/>
                <w:szCs w:val="20"/>
                <w:color w:val="auto"/>
              </w:rPr>
            </w:pPr>
            <w:r>
              <w:rPr>
                <w:rFonts w:ascii="Arial" w:cs="Arial" w:eastAsia="Arial" w:hAnsi="Arial"/>
                <w:sz w:val="16"/>
                <w:szCs w:val="16"/>
                <w:color w:val="auto"/>
              </w:rPr>
              <w:t>Other current liabilities</w:t>
            </w:r>
          </w:p>
        </w:tc>
        <w:tc>
          <w:tcPr>
            <w:tcW w:w="5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gridSpan w:val="2"/>
            <w:shd w:val="clear" w:color="auto" w:fill="CFF0FC"/>
          </w:tcPr>
          <w:p>
            <w:pPr>
              <w:ind w:left="500"/>
              <w:spacing w:after="0"/>
              <w:rPr>
                <w:sz w:val="20"/>
                <w:szCs w:val="20"/>
                <w:color w:val="auto"/>
              </w:rPr>
            </w:pPr>
            <w:r>
              <w:rPr>
                <w:rFonts w:ascii="Arial" w:cs="Arial" w:eastAsia="Arial" w:hAnsi="Arial"/>
                <w:sz w:val="16"/>
                <w:szCs w:val="16"/>
                <w:b w:val="1"/>
                <w:bCs w:val="1"/>
                <w:color w:val="auto"/>
              </w:rPr>
              <w:t>Total current liabilities</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6"/>
                <w:szCs w:val="16"/>
                <w:color w:val="auto"/>
              </w:rPr>
              <w:t>Long-term debt, net of current portion</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6"/>
                <w:szCs w:val="16"/>
                <w:color w:val="auto"/>
              </w:rPr>
              <w:t>Deferred revenue, net of current portion</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Preferred stock warrant liability</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Other long-term liabilities</w:t>
            </w:r>
          </w:p>
        </w:tc>
        <w:tc>
          <w:tcPr>
            <w:tcW w:w="5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95"/>
              </w:rPr>
              <w:t>Total liabilities</w:t>
            </w:r>
          </w:p>
        </w:tc>
        <w:tc>
          <w:tcPr>
            <w:tcW w:w="7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98,782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6"/>
                <w:szCs w:val="16"/>
                <w:b w:val="1"/>
                <w:bCs w:val="1"/>
                <w:color w:val="auto"/>
              </w:rPr>
              <w:t>Convertible preferred stock</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Series A convertible preferred stock—par value $0.0001; no shares authorized, issued or outstanding as</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of June 30, 2017; 12,127,468 shares authorized and 12,043,108 shares issued and outstanding</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as of December 31, 2016</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spacing w:after="0"/>
              <w:rPr>
                <w:sz w:val="20"/>
                <w:szCs w:val="20"/>
                <w:color w:val="auto"/>
              </w:rPr>
            </w:pPr>
            <w:r>
              <w:rPr>
                <w:rFonts w:ascii="Arial" w:cs="Arial" w:eastAsia="Arial" w:hAnsi="Arial"/>
                <w:sz w:val="16"/>
                <w:szCs w:val="16"/>
                <w:color w:val="auto"/>
              </w:rPr>
              <w:t>Series B convertible preferred stock—par value $0.0001; no shares authorized, issued or outstanding as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of June 30, 2017; 6,120,050 shares authorized, issued and outstanding as of December 31, 2016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Stockholders’ equity (deficit)</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60" w:type="dxa"/>
            <w:vAlign w:val="bottom"/>
            <w:gridSpan w:val="2"/>
          </w:tcPr>
          <w:p>
            <w:pPr>
              <w:spacing w:after="0"/>
              <w:rPr>
                <w:sz w:val="20"/>
                <w:szCs w:val="20"/>
                <w:color w:val="auto"/>
              </w:rPr>
            </w:pPr>
            <w:r>
              <w:rPr>
                <w:rFonts w:ascii="Arial" w:cs="Arial" w:eastAsia="Arial" w:hAnsi="Arial"/>
                <w:sz w:val="16"/>
                <w:szCs w:val="16"/>
                <w:color w:val="auto"/>
              </w:rPr>
              <w:t>Common stock—par value $0.0001; no shares authorized, issued or outstanding as of June 30, 2017;</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61,462,320 shares authorized and 34,274,718 shares issued and outstanding as of December 31, 2016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Class A common stock—par value $0.0001; 500,000,000 shares authorized and 7,198,341 shares</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issued and outstanding as of June 30, 2017; no shares authorized, issued or outstanding as of</w:t>
            </w:r>
          </w:p>
        </w:tc>
        <w:tc>
          <w:tcPr>
            <w:tcW w:w="5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December 31, 2016</w:t>
            </w: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360" w:type="dxa"/>
            <w:vAlign w:val="bottom"/>
            <w:gridSpan w:val="2"/>
          </w:tcPr>
          <w:p>
            <w:pPr>
              <w:spacing w:after="0"/>
              <w:rPr>
                <w:sz w:val="20"/>
                <w:szCs w:val="20"/>
                <w:color w:val="auto"/>
              </w:rPr>
            </w:pPr>
            <w:r>
              <w:rPr>
                <w:rFonts w:ascii="Arial" w:cs="Arial" w:eastAsia="Arial" w:hAnsi="Arial"/>
                <w:sz w:val="16"/>
                <w:szCs w:val="16"/>
                <w:color w:val="auto"/>
              </w:rPr>
              <w:t>Class B common stock—par value $0.0001; 100,000,000 shares authorized and 52,904,479 shares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issued and outstanding as of June 30, 2017; no shares authorized, issued or outstanding as of</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360" w:type="dxa"/>
            <w:vAlign w:val="bottom"/>
            <w:gridSpan w:val="2"/>
          </w:tcPr>
          <w:p>
            <w:pPr>
              <w:ind w:left="120"/>
              <w:spacing w:after="0"/>
              <w:rPr>
                <w:sz w:val="20"/>
                <w:szCs w:val="20"/>
                <w:color w:val="auto"/>
              </w:rPr>
            </w:pPr>
            <w:r>
              <w:rPr>
                <w:rFonts w:ascii="Arial" w:cs="Arial" w:eastAsia="Arial" w:hAnsi="Arial"/>
                <w:sz w:val="16"/>
                <w:szCs w:val="16"/>
                <w:color w:val="auto"/>
              </w:rPr>
              <w:t>December 31, 2016</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Additional paid-in capital</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136,981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360" w:type="dxa"/>
            <w:vAlign w:val="bottom"/>
            <w:gridSpan w:val="2"/>
          </w:tcPr>
          <w:p>
            <w:pPr>
              <w:spacing w:after="0"/>
              <w:rPr>
                <w:sz w:val="20"/>
                <w:szCs w:val="20"/>
                <w:color w:val="auto"/>
              </w:rPr>
            </w:pPr>
            <w:r>
              <w:rPr>
                <w:rFonts w:ascii="Arial" w:cs="Arial" w:eastAsia="Arial" w:hAnsi="Arial"/>
                <w:sz w:val="16"/>
                <w:szCs w:val="16"/>
                <w:color w:val="auto"/>
              </w:rPr>
              <w:t>Accumulated other comprehensive (loss) income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(83,036)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(64,825)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stockholders’ equity (deficit)</w:t>
            </w: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3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53,885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(63,492)</w:t>
            </w:r>
          </w:p>
        </w:tc>
        <w:tc>
          <w:tcPr>
            <w:tcW w:w="0" w:type="dxa"/>
            <w:vAlign w:val="bottom"/>
          </w:tcPr>
          <w:p>
            <w:pPr>
              <w:spacing w:after="0"/>
              <w:rPr>
                <w:sz w:val="1"/>
                <w:szCs w:val="1"/>
                <w:color w:val="auto"/>
              </w:rPr>
            </w:pPr>
          </w:p>
        </w:tc>
      </w:tr>
      <w:tr>
        <w:trPr>
          <w:trHeight w:val="20"/>
        </w:trPr>
        <w:tc>
          <w:tcPr>
            <w:tcW w:w="8360" w:type="dxa"/>
            <w:vAlign w:val="bottom"/>
            <w:gridSpan w:val="2"/>
            <w:vMerge w:val="restart"/>
            <w:shd w:val="clear" w:color="auto" w:fill="CFF0FC"/>
          </w:tcPr>
          <w:p>
            <w:pPr>
              <w:spacing w:after="0"/>
              <w:rPr>
                <w:sz w:val="20"/>
                <w:szCs w:val="20"/>
                <w:color w:val="auto"/>
              </w:rPr>
            </w:pPr>
            <w:r>
              <w:rPr>
                <w:rFonts w:ascii="Arial" w:cs="Arial" w:eastAsia="Arial" w:hAnsi="Arial"/>
                <w:sz w:val="16"/>
                <w:szCs w:val="16"/>
                <w:b w:val="1"/>
                <w:bCs w:val="1"/>
                <w:color w:val="auto"/>
              </w:rPr>
              <w:t>Total liabilities, convertible preferred stock and stockholders’ equity (deficit)</w:t>
            </w:r>
          </w:p>
        </w:tc>
        <w:tc>
          <w:tcPr>
            <w:tcW w:w="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152,667</w:t>
            </w:r>
          </w:p>
        </w:tc>
        <w:tc>
          <w:tcPr>
            <w:tcW w:w="18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102,738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CFF0FC"/>
            </w:tcBorders>
          </w:tcPr>
          <w:p>
            <w:pPr>
              <w:spacing w:after="0" w:line="20" w:lineRule="exact"/>
              <w:rPr>
                <w:sz w:val="1"/>
                <w:szCs w:val="1"/>
                <w:color w:val="auto"/>
              </w:rPr>
            </w:pPr>
          </w:p>
        </w:tc>
        <w:tc>
          <w:tcPr>
            <w:tcW w:w="72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Subscriptions, software and support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22,012</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17,320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43,456</w:t>
            </w:r>
          </w:p>
        </w:tc>
        <w:tc>
          <w:tcPr>
            <w:tcW w:w="160" w:type="dxa"/>
            <w:vAlign w:val="bottom"/>
          </w:tcPr>
          <w:p>
            <w:pPr>
              <w:spacing w:after="0"/>
              <w:rPr>
                <w:sz w:val="19"/>
                <w:szCs w:val="19"/>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32,938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21,186</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35,493</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32,467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68,431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Subscriptions, software and support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14,149</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28,319</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24,997</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23,445</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43,468</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(14,820)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(1,217)</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(496)</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(14,459)</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(14,602)</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2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(18,211)</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(0.12)</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Basic and diluted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42,800,875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34,274,718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38,561,349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34,274,718</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42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Comprehensive income, net of income taxes: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(491)</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(1,396)</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other comprehensive loss, net of income taxes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(15,491)</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Stockholders'</w:t>
            </w:r>
          </w:p>
        </w:tc>
      </w:tr>
      <w:tr>
        <w:trPr>
          <w:trHeight w:val="171"/>
        </w:trPr>
        <w:tc>
          <w:tcPr>
            <w:tcW w:w="5100" w:type="dxa"/>
            <w:vAlign w:val="bottom"/>
          </w:tcPr>
          <w:p>
            <w:pPr>
              <w:spacing w:after="0"/>
              <w:rPr>
                <w:sz w:val="14"/>
                <w:szCs w:val="14"/>
                <w:color w:val="auto"/>
              </w:rPr>
            </w:pPr>
          </w:p>
        </w:tc>
        <w:tc>
          <w:tcPr>
            <w:tcW w:w="214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rPr>
              <w:t>Paid-In</w:t>
            </w:r>
          </w:p>
        </w:tc>
        <w:tc>
          <w:tcPr>
            <w:tcW w:w="134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1"/>
              </w:rPr>
              <w:t>Comprehensive</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r>
      <w:tr>
        <w:trPr>
          <w:trHeight w:val="156"/>
        </w:trPr>
        <w:tc>
          <w:tcPr>
            <w:tcW w:w="5100" w:type="dxa"/>
            <w:vAlign w:val="bottom"/>
          </w:tcPr>
          <w:p>
            <w:pPr>
              <w:spacing w:after="0"/>
              <w:rPr>
                <w:sz w:val="13"/>
                <w:szCs w:val="13"/>
                <w:color w:val="auto"/>
              </w:rPr>
            </w:pPr>
          </w:p>
        </w:tc>
        <w:tc>
          <w:tcPr>
            <w:tcW w:w="116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53"/>
              <w:spacing w:after="0" w:line="155" w:lineRule="exact"/>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3"/>
                <w:szCs w:val="13"/>
                <w:color w:val="auto"/>
              </w:rPr>
            </w:pPr>
          </w:p>
        </w:tc>
        <w:tc>
          <w:tcPr>
            <w:tcW w:w="110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9"/>
              </w:rPr>
              <w:t>(Deficit)</w:t>
            </w: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2017</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34,274,718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(64,825)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(17,854)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(17,854)</w:t>
            </w:r>
          </w:p>
        </w:tc>
      </w:tr>
      <w:tr>
        <w:trPr>
          <w:trHeight w:val="215"/>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dividends on convertible</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(357)</w:t>
            </w:r>
          </w:p>
        </w:tc>
      </w:tr>
      <w:tr>
        <w:trPr>
          <w:trHeight w:val="215"/>
        </w:trPr>
        <w:tc>
          <w:tcPr>
            <w:tcW w:w="5100" w:type="dxa"/>
            <w:vAlign w:val="bottom"/>
          </w:tcPr>
          <w:p>
            <w:pPr>
              <w:ind w:left="260"/>
              <w:spacing w:after="0"/>
              <w:rPr>
                <w:sz w:val="20"/>
                <w:szCs w:val="20"/>
                <w:color w:val="auto"/>
              </w:rPr>
            </w:pPr>
            <w:r>
              <w:rPr>
                <w:rFonts w:ascii="Arial" w:cs="Arial" w:eastAsia="Arial" w:hAnsi="Arial"/>
                <w:sz w:val="18"/>
                <w:szCs w:val="18"/>
                <w:color w:val="auto"/>
              </w:rPr>
              <w:t>Conversion of convertible preferred stock to</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18,163,158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48,205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48,207</w:t>
            </w:r>
          </w:p>
        </w:tc>
        <w:tc>
          <w:tcPr>
            <w:tcW w:w="100" w:type="dxa"/>
            <w:vAlign w:val="bottom"/>
          </w:tcPr>
          <w:p>
            <w:pPr>
              <w:spacing w:after="0"/>
              <w:rPr>
                <w:sz w:val="20"/>
                <w:szCs w:val="20"/>
                <w:color w:val="auto"/>
              </w:rPr>
            </w:pPr>
          </w:p>
        </w:tc>
      </w:tr>
      <w:tr>
        <w:trPr>
          <w:trHeight w:val="215"/>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convertible preferred stock warrant</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1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 common stock warrant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FF0FC"/>
          </w:tcPr>
          <w:p>
            <w:pPr>
              <w:spacing w:after="0"/>
              <w:rPr>
                <w:sz w:val="20"/>
                <w:szCs w:val="20"/>
                <w:color w:val="auto"/>
              </w:rPr>
            </w:pPr>
          </w:p>
        </w:tc>
      </w:tr>
      <w:tr>
        <w:trPr>
          <w:trHeight w:val="215"/>
        </w:trPr>
        <w:tc>
          <w:tcPr>
            <w:tcW w:w="5100" w:type="dxa"/>
            <w:vAlign w:val="bottom"/>
          </w:tcPr>
          <w:p>
            <w:pPr>
              <w:ind w:left="260"/>
              <w:spacing w:after="0"/>
              <w:rPr>
                <w:sz w:val="20"/>
                <w:szCs w:val="20"/>
                <w:color w:val="auto"/>
              </w:rPr>
            </w:pPr>
            <w:r>
              <w:rPr>
                <w:rFonts w:ascii="Arial" w:cs="Arial" w:eastAsia="Arial" w:hAnsi="Arial"/>
                <w:sz w:val="18"/>
                <w:szCs w:val="18"/>
                <w:color w:val="auto"/>
              </w:rPr>
              <w:t>Issuance of common stock from initial public</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00" w:type="dxa"/>
            <w:vAlign w:val="bottom"/>
          </w:tcPr>
          <w:p>
            <w:pPr>
              <w:ind w:left="380"/>
              <w:spacing w:after="0"/>
              <w:rPr>
                <w:sz w:val="20"/>
                <w:szCs w:val="20"/>
                <w:color w:val="auto"/>
              </w:rPr>
            </w:pPr>
            <w:r>
              <w:rPr>
                <w:rFonts w:ascii="Arial" w:cs="Arial" w:eastAsia="Arial" w:hAnsi="Arial"/>
                <w:sz w:val="18"/>
                <w:szCs w:val="18"/>
                <w:color w:val="auto"/>
              </w:rPr>
              <w:t>offering, net of issuance costs</w:t>
            </w:r>
          </w:p>
        </w:tc>
        <w:tc>
          <w:tcPr>
            <w:tcW w:w="940" w:type="dxa"/>
            <w:vAlign w:val="bottom"/>
          </w:tcPr>
          <w:p>
            <w:pPr>
              <w:jc w:val="right"/>
              <w:spacing w:after="0"/>
              <w:rPr>
                <w:sz w:val="20"/>
                <w:szCs w:val="20"/>
                <w:color w:val="auto"/>
              </w:rPr>
            </w:pPr>
            <w:r>
              <w:rPr>
                <w:rFonts w:ascii="Arial" w:cs="Arial" w:eastAsia="Arial" w:hAnsi="Arial"/>
                <w:sz w:val="18"/>
                <w:szCs w:val="18"/>
                <w:color w:val="auto"/>
              </w:rPr>
              <w:t>7,187,500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77,788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77,789</w:t>
            </w:r>
          </w:p>
        </w:tc>
        <w:tc>
          <w:tcPr>
            <w:tcW w:w="100" w:type="dxa"/>
            <w:vAlign w:val="bottom"/>
          </w:tcPr>
          <w:p>
            <w:pPr>
              <w:spacing w:after="0"/>
              <w:rPr>
                <w:sz w:val="20"/>
                <w:szCs w:val="20"/>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common stock warrant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79,363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Issuance of common stock to directors</w:t>
            </w:r>
          </w:p>
        </w:tc>
        <w:tc>
          <w:tcPr>
            <w:tcW w:w="940" w:type="dxa"/>
            <w:vAlign w:val="bottom"/>
          </w:tcPr>
          <w:p>
            <w:pPr>
              <w:jc w:val="right"/>
              <w:spacing w:after="0"/>
              <w:rPr>
                <w:sz w:val="20"/>
                <w:szCs w:val="20"/>
                <w:color w:val="auto"/>
              </w:rPr>
            </w:pPr>
            <w:r>
              <w:rPr>
                <w:rFonts w:ascii="Arial" w:cs="Arial" w:eastAsia="Arial" w:hAnsi="Arial"/>
                <w:sz w:val="18"/>
                <w:szCs w:val="18"/>
                <w:color w:val="auto"/>
              </w:rPr>
              <w:t>10,841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Pr>
          <w:p>
            <w:pPr>
              <w:spacing w:after="0"/>
              <w:rPr>
                <w:sz w:val="19"/>
                <w:szCs w:val="19"/>
                <w:color w:val="auto"/>
              </w:rPr>
            </w:pP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(1,396)</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Balance, June 30, 2017</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60,102,820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136,981</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53,885</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0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(17,854)</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(3,539)</w:t>
            </w:r>
          </w:p>
        </w:tc>
      </w:tr>
      <w:tr>
        <w:trPr>
          <w:trHeight w:val="211"/>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Adjustments to reconcile net loss to net cash used in</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Bad debt expense</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(892)</w:t>
            </w: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color w:val="auto"/>
              </w:rPr>
              <w:t>Fair value adjustment for warrant liability</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extinguishment of debt</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500"/>
              <w:spacing w:after="0"/>
              <w:rPr>
                <w:sz w:val="20"/>
                <w:szCs w:val="20"/>
                <w:color w:val="auto"/>
              </w:rPr>
            </w:pPr>
            <w:r>
              <w:rPr>
                <w:rFonts w:ascii="Arial" w:cs="Arial" w:eastAsia="Arial" w:hAnsi="Arial"/>
                <w:sz w:val="18"/>
                <w:szCs w:val="18"/>
                <w:b w:val="1"/>
                <w:bCs w:val="1"/>
                <w:color w:val="auto"/>
              </w:rPr>
              <w:t>Changes in assets and liabilities: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(10,565)</w:t>
            </w:r>
          </w:p>
        </w:tc>
      </w:tr>
      <w:tr>
        <w:trPr>
          <w:trHeight w:val="230"/>
        </w:trPr>
        <w:tc>
          <w:tcPr>
            <w:tcW w:w="6800" w:type="dxa"/>
            <w:vAlign w:val="bottom"/>
          </w:tcPr>
          <w:p>
            <w:pPr>
              <w:ind w:left="740"/>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(3,361)</w:t>
            </w:r>
          </w:p>
        </w:tc>
      </w:tr>
      <w:tr>
        <w:trPr>
          <w:trHeight w:val="230"/>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commissions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(933)</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(2,081)</w:t>
            </w:r>
          </w:p>
        </w:tc>
      </w:tr>
      <w:tr>
        <w:trPr>
          <w:trHeight w:val="230"/>
        </w:trPr>
        <w:tc>
          <w:tcPr>
            <w:tcW w:w="680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compensation and related benefits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740"/>
              <w:spacing w:after="0"/>
              <w:rPr>
                <w:sz w:val="20"/>
                <w:szCs w:val="20"/>
                <w:color w:val="auto"/>
              </w:rPr>
            </w:pPr>
            <w:r>
              <w:rPr>
                <w:rFonts w:ascii="Arial" w:cs="Arial" w:eastAsia="Arial" w:hAnsi="Arial"/>
                <w:sz w:val="18"/>
                <w:szCs w:val="18"/>
                <w:color w:val="auto"/>
              </w:rPr>
              <w:t>Other current liabilities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740"/>
              <w:spacing w:after="0"/>
              <w:rPr>
                <w:sz w:val="20"/>
                <w:szCs w:val="20"/>
                <w:color w:val="auto"/>
              </w:rPr>
            </w:pPr>
            <w:r>
              <w:rPr>
                <w:rFonts w:ascii="Arial" w:cs="Arial" w:eastAsia="Arial" w:hAnsi="Arial"/>
                <w:sz w:val="18"/>
                <w:szCs w:val="18"/>
                <w:color w:val="auto"/>
              </w:rPr>
              <w:t>Other long-term liabilities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r>
      <w:tr>
        <w:trPr>
          <w:trHeight w:val="223"/>
        </w:trPr>
        <w:tc>
          <w:tcPr>
            <w:tcW w:w="68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10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(12,292)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(665)</w:t>
            </w:r>
          </w:p>
        </w:tc>
      </w:tr>
      <w:tr>
        <w:trPr>
          <w:trHeight w:val="223"/>
        </w:trPr>
        <w:tc>
          <w:tcPr>
            <w:tcW w:w="6800" w:type="dxa"/>
            <w:vAlign w:val="bottom"/>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0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Proceeds from initial public offering, net of underwriting discounts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deferred initial public offering costs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Payment of dividend to Series A preferred stockholders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Proceeds from issuance of long-term debt, net of debt issuance costs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(40,000)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(10,000)</w:t>
            </w:r>
          </w:p>
        </w:tc>
      </w:tr>
      <w:tr>
        <w:trPr>
          <w:trHeight w:val="223"/>
        </w:trPr>
        <w:tc>
          <w:tcPr>
            <w:tcW w:w="6800" w:type="dxa"/>
            <w:vAlign w:val="bottom"/>
          </w:tcPr>
          <w:p>
            <w:pPr>
              <w:ind w:left="260"/>
              <w:spacing w:after="0"/>
              <w:rPr>
                <w:sz w:val="20"/>
                <w:szCs w:val="20"/>
                <w:color w:val="auto"/>
              </w:rPr>
            </w:pPr>
            <w:r>
              <w:rPr>
                <w:rFonts w:ascii="Arial" w:cs="Arial" w:eastAsia="Arial" w:hAnsi="Arial"/>
                <w:sz w:val="18"/>
                <w:szCs w:val="18"/>
                <w:b w:val="1"/>
                <w:bCs w:val="1"/>
                <w:color w:val="auto"/>
              </w:rPr>
              <w:t>Net cash provided by financing activities</w:t>
            </w:r>
          </w:p>
        </w:tc>
        <w:tc>
          <w:tcPr>
            <w:tcW w:w="10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Effect of foreign exchange rate changes on cash and cash equivalents</w:t>
            </w:r>
          </w:p>
        </w:tc>
        <w:tc>
          <w:tcPr>
            <w:tcW w:w="10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(809)</w:t>
            </w:r>
          </w:p>
        </w:tc>
      </w:tr>
      <w:tr>
        <w:trPr>
          <w:trHeight w:val="230"/>
        </w:trPr>
        <w:tc>
          <w:tcPr>
            <w:tcW w:w="680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(3,766)</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31,393</w:t>
            </w:r>
          </w:p>
        </w:tc>
        <w:tc>
          <w:tcPr>
            <w:tcW w:w="120" w:type="dxa"/>
            <w:vAlign w:val="bottom"/>
            <w:shd w:val="clear" w:color="auto" w:fill="CFF0FC"/>
          </w:tcPr>
          <w:p>
            <w:pPr>
              <w:spacing w:after="0"/>
              <w:rPr>
                <w:sz w:val="19"/>
                <w:szCs w:val="19"/>
                <w:color w:val="auto"/>
              </w:rPr>
            </w:pPr>
          </w:p>
        </w:tc>
      </w:tr>
      <w:tr>
        <w:trPr>
          <w:trHeight w:val="263"/>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27,627</w:t>
            </w:r>
          </w:p>
        </w:tc>
        <w:tc>
          <w:tcPr>
            <w:tcW w:w="120" w:type="dxa"/>
            <w:vAlign w:val="bottom"/>
            <w:tcBorders>
              <w:bottom w:val="single" w:sz="8" w:color="CFF0FC"/>
            </w:tcBorders>
          </w:tcPr>
          <w:p>
            <w:pPr>
              <w:spacing w:after="0"/>
              <w:rPr>
                <w:sz w:val="22"/>
                <w:szCs w:val="22"/>
                <w:color w:val="auto"/>
              </w:rPr>
            </w:pPr>
          </w:p>
        </w:tc>
      </w:tr>
      <w:tr>
        <w:trPr>
          <w:trHeight w:val="21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20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w:t>
            </w:r>
          </w:p>
        </w:tc>
        <w:tc>
          <w:tcPr>
            <w:tcW w:w="20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Conversion of convertible preferred stock to common stock</w:t>
            </w:r>
          </w:p>
        </w:tc>
        <w:tc>
          <w:tcPr>
            <w:tcW w:w="20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Conversion of convertible preferred stock warrant to common stock warrant</w:t>
            </w:r>
          </w:p>
        </w:tc>
        <w:tc>
          <w:tcPr>
            <w:tcW w:w="20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9"/>
                <w:szCs w:val="19"/>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dividends on convertible preferred stock</w:t>
            </w:r>
          </w:p>
        </w:tc>
        <w:tc>
          <w:tcPr>
            <w:tcW w:w="2020" w:type="dxa"/>
            <w:vAlign w:val="bottom"/>
            <w:gridSpan w:val="2"/>
            <w:shd w:val="clear" w:color="auto" w:fill="CFF0FC"/>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Deferred offering costs included in accounts payable and accrued expenses</w:t>
            </w:r>
          </w:p>
        </w:tc>
        <w:tc>
          <w:tcPr>
            <w:tcW w:w="202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20"/>
                <w:szCs w:val="20"/>
                <w:color w:val="auto"/>
              </w:rPr>
            </w:pP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(UNAUDITED)</w:t>
      </w:r>
    </w:p>
    <w:p>
      <w:pPr>
        <w:spacing w:after="0" w:line="176"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w:t>
      </w:r>
    </w:p>
    <w:p>
      <w:pPr>
        <w:spacing w:after="0" w:line="121" w:lineRule="exact"/>
        <w:rPr>
          <w:sz w:val="20"/>
          <w:szCs w:val="20"/>
          <w:color w:val="auto"/>
        </w:rPr>
      </w:pPr>
    </w:p>
    <w:p>
      <w:pPr>
        <w:ind w:right="380" w:firstLine="555"/>
        <w:spacing w:after="0" w:line="302" w:lineRule="auto"/>
        <w:rPr>
          <w:sz w:val="20"/>
          <w:szCs w:val="20"/>
          <w:color w:val="auto"/>
        </w:rPr>
      </w:pPr>
      <w:r>
        <w:rPr>
          <w:rFonts w:ascii="Arial" w:cs="Arial" w:eastAsia="Arial" w:hAnsi="Arial"/>
          <w:sz w:val="16"/>
          <w:szCs w:val="16"/>
          <w:color w:val="auto"/>
        </w:rPr>
        <w:t>Appian Corporation (together with its subsidiaries, “Appian,” the “Company,” “we” or “our”) provides a leading low-code software development platform that enables organizations to rapidly develop powerful and unique applications. The applications created on our platform help companies drive digital transformation and competitive differentiation. We were incorporated in the state of Delaware in August 1999. We are headquartered in Reston, Virginia and have offices in Canada, Switzerland, the United Kingdom, France, Germany, the Netherlands, Italy, and Australia.</w:t>
      </w:r>
    </w:p>
    <w:p>
      <w:pPr>
        <w:spacing w:after="0" w:line="258" w:lineRule="exact"/>
        <w:rPr>
          <w:sz w:val="20"/>
          <w:szCs w:val="20"/>
          <w:color w:val="auto"/>
        </w:rPr>
      </w:pPr>
    </w:p>
    <w:p>
      <w:pPr>
        <w:ind w:left="560" w:right="8480" w:hanging="552"/>
        <w:spacing w:after="0" w:line="425" w:lineRule="auto"/>
        <w:tabs>
          <w:tab w:leader="none" w:pos="55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The accompanying unaudited condensed consolidated financial statements and footnotes have been prepared in accordance with accounting principles generally accepted in the United States of America (“U.S. GAAP”) as contained in the Financial Accounting Standards Board (“FASB”) Accounting Standards Codification (the “Codification” or “ASC”) for interim financial information. In the opinion of management, the interim financial information includes all adjustments of a normal recurring nature necessary for a fair presentation of the results of operations, financial position, changes in stockholders’ equity (deficit) and cash flows. The results of operations for the current period are not necessarily indicative of the results for the full year or the results for any future periods. These condensed consolidated financial statements should be read in conjunction with the consolidated financial statements and related footnotes included in our final prospectus for our initial public offering (“IPO”) dated as of May 24, 2017 and filed with the Securities and Exchange Commission (the “SEC”) pursuant to Rule 424(b)(4) under the Securities Act of 1933, as amended.</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right="80" w:firstLine="555"/>
        <w:spacing w:after="0" w:line="312" w:lineRule="auto"/>
        <w:rPr>
          <w:sz w:val="20"/>
          <w:szCs w:val="20"/>
          <w:color w:val="auto"/>
        </w:rPr>
      </w:pPr>
      <w:r>
        <w:rPr>
          <w:rFonts w:ascii="Arial" w:cs="Arial" w:eastAsia="Arial" w:hAnsi="Arial"/>
          <w:sz w:val="16"/>
          <w:szCs w:val="16"/>
          <w:color w:val="auto"/>
        </w:rPr>
        <w:t>The preparation of our condensed consolidated financial statements in conformity with U.S. GAAP requires us to make estimates and judgments that affect the amounts reported in these condensed consolidated financial statements and accompanying notes. Although we believe that the estimates we use are reasonable, due to the inherent uncertainty involved in making these estimates, actual results reported in future periods could differ from those estimates.</w:t>
      </w:r>
    </w:p>
    <w:p>
      <w:pPr>
        <w:spacing w:after="0" w:line="147" w:lineRule="exact"/>
        <w:rPr>
          <w:sz w:val="20"/>
          <w:szCs w:val="20"/>
          <w:color w:val="auto"/>
        </w:rPr>
      </w:pPr>
    </w:p>
    <w:p>
      <w:pPr>
        <w:ind w:right="680" w:firstLine="555"/>
        <w:spacing w:after="0" w:line="308" w:lineRule="auto"/>
        <w:rPr>
          <w:sz w:val="20"/>
          <w:szCs w:val="20"/>
          <w:color w:val="auto"/>
        </w:rPr>
      </w:pPr>
      <w:r>
        <w:rPr>
          <w:rFonts w:ascii="Arial" w:cs="Arial" w:eastAsia="Arial" w:hAnsi="Arial"/>
          <w:sz w:val="17"/>
          <w:szCs w:val="17"/>
          <w:color w:val="auto"/>
        </w:rPr>
        <w:t>Significant estimates embedded in the condensed consolidated financial statements include revenue recognition, income taxes and the related valuation allowance, stock-based compensation and fair value measurements for our common stock and preferred stock warrant.</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Appian and its wholly-owned subsidiaries. All intercompany accounts and transactions have been eliminated in consolidation.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May 2017, we completed an IPO in which we sold 7,187,500 shares of our newly-authorized Class A common stock at an initial price to the public of $12.00 per share. We received net proceeds of $77.8 million, after deducting underwriting discounts and commissions and offering expenses paid and payable by us, from sales of our shares in the IPO. Immediately prior to the completion of the IPO, (1) all shares of common stock then outstanding were converted into Class B common stock on a one-for-one basis, (2) a warrant to purchase shares of convertible preferred stock was converted into a warrant to purchase shares of Class B common stock and (3) all shares of convertible preferred stock then outstanding were converted into shares of our common stock on a one-for-one basis, and then reclassified as shares of Class B common stock. See Note 7 for further discussion of the convertible preferred stock and Note 8 for further discussion of the warrant.</w:t>
      </w:r>
    </w:p>
    <w:p>
      <w:pPr>
        <w:spacing w:after="0" w:line="8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Deferred offering costs of $2.4 million, consisting of legal, accounting and other fees and costs related to our IPO, were recorded to additional paid-in capital as a reduction of the proceeds upon the closing of our IPO.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ind w:left="280" w:right="210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We generate revenue primarily through sales of subscriptions to our platform, as well as professional services. We recognize revenue when all of the following conditions are met: (1) there is persuasive evidence of an arrangement; (2) the service or product has been provided to the customer; (3) the amount of fees to be paid by the customer is fixed or determinable; and (4) the collection of related fees is reasonably assured. If collection is not reasonably assured, we defer revenue recognition until collectability becomes reasonably assured. Our arrangements do not contain general rights of return. Revenue is recognized net of any taxes collected from customers and subsequently remitted to governmental authorities.</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Subscriptions, Software and Support Revenue</w:t>
      </w:r>
    </w:p>
    <w:p>
      <w:pPr>
        <w:spacing w:after="0" w:line="117" w:lineRule="exact"/>
        <w:rPr>
          <w:sz w:val="20"/>
          <w:szCs w:val="20"/>
          <w:color w:val="auto"/>
        </w:rPr>
      </w:pPr>
    </w:p>
    <w:p>
      <w:pPr>
        <w:ind w:right="140" w:firstLine="555"/>
        <w:spacing w:after="0" w:line="264" w:lineRule="auto"/>
        <w:rPr>
          <w:sz w:val="20"/>
          <w:szCs w:val="20"/>
          <w:color w:val="auto"/>
        </w:rPr>
      </w:pPr>
      <w:r>
        <w:rPr>
          <w:rFonts w:ascii="Arial" w:cs="Arial" w:eastAsia="Arial" w:hAnsi="Arial"/>
          <w:sz w:val="18"/>
          <w:szCs w:val="18"/>
          <w:color w:val="auto"/>
        </w:rPr>
        <w:t>Subscriptions, software and support revenue is primarily related to (1) software as a service (“SaaS”) subscriptions bundled with maintenance and support and hosting services and (2) term license subscriptions bundled with maintenance and support. To a lesser extent, we also generate revenue from the sale of perpetual software licenses and associated maintenance and support.</w:t>
      </w:r>
    </w:p>
    <w:p>
      <w:pPr>
        <w:spacing w:after="0" w:line="181"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Historically, we licensed our software primarily under perpetual licenses, but over time we transitioned from perpetual licenses to subscriptions. As a result, revenue from our perpetual software licenses was 0.2% and 0.6% of our total revenue for the three and six months ended June 30, 2017, respectively. Revenue from our perpetual software licenses was 0.4% and 0.5% of our total revenue for the three and six months ended June 30, 2016, respectively.</w:t>
      </w:r>
    </w:p>
    <w:p>
      <w:pPr>
        <w:spacing w:after="0" w:line="187"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We generally charge subscription fees on a per-user basis. We bill customers and collect payment for subscriptions to our platform in advance on a monthly, quarterly or annual basis. In certain instances, we have had customers pay their entire contract up front.</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SaaS Subscriptions</w:t>
      </w:r>
    </w:p>
    <w:p>
      <w:pPr>
        <w:spacing w:after="0" w:line="12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Our SaaS subscription revenue is derived from customers accessing our cloud offering pursuant to contracts that are generally one to five years in length. We perform all required maintenance and support for our cloud offering and we do not separately charge customers for hosting costs. In these arrangements, our customers do not have the right to take the software on-premises and, as a result, such arrangements are not accounted for within the scope of the software revenue guidance. Revenue from SaaS subscriptions is recognized ratably over the term of the subscription, beginning with the date our service is made available to our customer.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License Subscriptions</w:t>
      </w:r>
    </w:p>
    <w:p>
      <w:pPr>
        <w:spacing w:after="0" w:line="12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Our term license subscription revenue is derived from customers with on-premises installations of our platform pursuant to contracts that are generally one to five years in length. Customers with term license subscriptions have the right to use our software and receive maintenance and support. Since we do not sell maintenance and support separately from the subscription, revenue for the term license subscription and maintenance and support is recognized ratably over the term of the subscription, upon delivery of the platform to the customer when sold on a standalone basis.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ind w:left="260" w:right="212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Perpetual Licenses</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perpetual license revenue is derived from customers with perpetual licenses to our platform and associated maintenance and support contracts. We recognize revenue from perpetual licenses on the date of delivery to our customer. We sell maintenance and support to perpetual license customers separately from the perpetual licenses pursuant to agreements that generally renew annually. Maintenance and support revenue is deferred and recognized ratably over the term of the support period.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right="400" w:firstLine="555"/>
        <w:spacing w:after="0" w:line="264" w:lineRule="auto"/>
        <w:rPr>
          <w:sz w:val="20"/>
          <w:szCs w:val="20"/>
          <w:color w:val="auto"/>
        </w:rPr>
      </w:pPr>
      <w:r>
        <w:rPr>
          <w:rFonts w:ascii="Arial" w:cs="Arial" w:eastAsia="Arial" w:hAnsi="Arial"/>
          <w:sz w:val="18"/>
          <w:szCs w:val="18"/>
          <w:color w:val="auto"/>
        </w:rPr>
        <w:t>Our professional services revenue is comprised of fees for consulting services, including application development and deployment assistance and training related to our platform. Our professional services are not essential to the functionality of our platform because the platform is ready for the customer’s use immediately upon delivery and is not modified or customized in any manner.</w:t>
      </w:r>
    </w:p>
    <w:p>
      <w:pPr>
        <w:spacing w:after="0" w:line="18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Consulting services are billed under both time-and-material and fixed-fee arrangements. For standalone time-and-material contracts, we recognize revenue at contractually agreed upon billing rates applied to hours performed, plus the cost of any materials delivered. For standalone fixed-fee contracts, we also recognize revenue as the work is performed using the proportional performance method of accounting. Training revenue is recognized when the associated training services are delivered. Training is also sold in the form of a subscription arrangement where a customer agrees to pay an annual fixed fee for a fixed number of users to have access to all of our training offerings during the year. Revenue from training subscription agreements is recognized ratably over the subscription period.</w:t>
      </w:r>
    </w:p>
    <w:p>
      <w:pPr>
        <w:spacing w:after="0" w:line="193"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We defer recognition of revenue from work performed on pending contract modifications until the period in which the modifications are accepted and funding is approved by the customer. Costs of work performed on pending contract modifications are expensed as incurred.</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Multiple Element Arrangements</w:t>
      </w:r>
    </w:p>
    <w:p>
      <w:pPr>
        <w:spacing w:after="0" w:line="117" w:lineRule="exact"/>
        <w:rPr>
          <w:sz w:val="20"/>
          <w:szCs w:val="20"/>
          <w:color w:val="auto"/>
        </w:rPr>
      </w:pPr>
    </w:p>
    <w:p>
      <w:pPr>
        <w:ind w:right="780" w:firstLine="555"/>
        <w:spacing w:after="0" w:line="277" w:lineRule="auto"/>
        <w:rPr>
          <w:sz w:val="20"/>
          <w:szCs w:val="20"/>
          <w:color w:val="auto"/>
        </w:rPr>
      </w:pPr>
      <w:r>
        <w:rPr>
          <w:rFonts w:ascii="Arial" w:cs="Arial" w:eastAsia="Arial" w:hAnsi="Arial"/>
          <w:sz w:val="18"/>
          <w:szCs w:val="18"/>
          <w:color w:val="auto"/>
        </w:rPr>
        <w:t>Our multiple element arrangements are from SaaS subscriptions, term license subscriptions, and perpetual licenses that are generally sold in combination with maintenance and support service and frequently with professional services.</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SaaS Subscriptions</w:t>
      </w:r>
    </w:p>
    <w:p>
      <w:pPr>
        <w:spacing w:after="0" w:line="121" w:lineRule="exact"/>
        <w:rPr>
          <w:sz w:val="20"/>
          <w:szCs w:val="20"/>
          <w:color w:val="auto"/>
        </w:rPr>
      </w:pPr>
    </w:p>
    <w:p>
      <w:pPr>
        <w:jc w:val="both"/>
        <w:ind w:right="120" w:firstLine="555"/>
        <w:spacing w:after="0" w:line="288" w:lineRule="auto"/>
        <w:rPr>
          <w:sz w:val="20"/>
          <w:szCs w:val="20"/>
          <w:color w:val="auto"/>
        </w:rPr>
      </w:pPr>
      <w:r>
        <w:rPr>
          <w:rFonts w:ascii="Arial" w:cs="Arial" w:eastAsia="Arial" w:hAnsi="Arial"/>
          <w:sz w:val="16"/>
          <w:szCs w:val="16"/>
          <w:color w:val="auto"/>
        </w:rPr>
        <w:t>For multiple element arrangements involving SaaS subscriptions that include professional services in addition to the subscription to our platform, we evaluate each element to determine whether it represents a separate unit of accounting. Because there are third-party vendors who routinely sell and provide the same professional services to our customers, our professional services are deemed to have standalone value apart from the SaaS subscription.</w:t>
      </w:r>
    </w:p>
    <w:p>
      <w:pPr>
        <w:spacing w:after="0" w:line="287" w:lineRule="auto"/>
        <w:rPr>
          <w:sz w:val="20"/>
          <w:szCs w:val="20"/>
          <w:color w:val="auto"/>
        </w:rPr>
      </w:pPr>
      <w:r>
        <w:rPr>
          <w:rFonts w:ascii="Arial" w:cs="Arial" w:eastAsia="Arial" w:hAnsi="Arial"/>
          <w:sz w:val="16"/>
          <w:szCs w:val="16"/>
          <w:color w:val="auto"/>
        </w:rPr>
        <w:t>Additionally, we offer both SaaS subscriptions and professional services on a standalone basis. Professional services revenue is therefore accounted for separately from subscription fees and recognized as the professional services are performed. We allocate revenue to the elements based on the selling price hierarchy using vendor-specific objective evidence (“VSOE”) of selling price, third-party evidence (“TPE”) of selling price, or if neither exists, best estimated selling price (“BESP”). In cases where we do not have VSOE or TPE of the elements of our arrangements, we use BESP to allocate revenue. We determine BESP for a service by considering multiple factors including, but not limited to, evaluating the weighted average of actual sales prices and other factors such as gross margin objectives, pricing practices and growth strategy. Pricing practices taken into consideration include historic contractually stated prices, volume discounts where applicable and our price lists. While we believe we can make reliable estimates regarding these matters, these estimates are inherently subjective. Once the revenue is allocated to these elements, revenue is recognized as such services are provided.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left="300" w:right="208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License Subscriptions</w:t>
      </w:r>
    </w:p>
    <w:p>
      <w:pPr>
        <w:spacing w:after="0" w:line="121"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For multiple element arrangements involving term license subscriptions, maintenance and support and professional services, we do not have VSOE of fair value for the maintenance and support. Our term license subscriptions are generally not sold on a standalone basis, and therefore, we have not established VSOE of fair value for the subscriptions. Consequently, for our bundled arrangements that include certain professional services, there are two undelivered elements for which VSOE of fair value has not been established and, therefore, we utilize the combined services approach and defer all revenue until the software has been delivered and the provision of all services has commenced. We then recognize the entire fee from the arrangement ratably over the remaining period of the arrangement, assuming all other software revenue recognition criteria have been met.</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Perpetual Licenses</w:t>
      </w:r>
    </w:p>
    <w:p>
      <w:pPr>
        <w:spacing w:after="0" w:line="121" w:lineRule="exact"/>
        <w:rPr>
          <w:sz w:val="20"/>
          <w:szCs w:val="20"/>
          <w:color w:val="auto"/>
        </w:rPr>
      </w:pPr>
    </w:p>
    <w:p>
      <w:pPr>
        <w:ind w:right="20" w:firstLine="555"/>
        <w:spacing w:after="0" w:line="289" w:lineRule="auto"/>
        <w:rPr>
          <w:sz w:val="20"/>
          <w:szCs w:val="20"/>
          <w:color w:val="auto"/>
        </w:rPr>
      </w:pPr>
      <w:r>
        <w:rPr>
          <w:rFonts w:ascii="Arial" w:cs="Arial" w:eastAsia="Arial" w:hAnsi="Arial"/>
          <w:sz w:val="16"/>
          <w:szCs w:val="16"/>
          <w:color w:val="auto"/>
        </w:rPr>
        <w:t>For multiple element arrangements involving our perpetual software licenses, we allocate revenue to the software license arrangement by determining if VSOE of fair value exists for the undelivered elements, which are usually maintenance and support and professional services. In situations where VSOE of fair value exists for the undelivered elements, we apply the residual method whereby the fees allocated to license revenue are recognized upon delivery, the fees allocated to maintenance and support revenue are recognized over the service period and the fees allocated to professional services and training are recognized as performed. In instances where we lack VSOE of fair value for the undelivered elements, revenue is either deferred until the final element is delivered or recognized ratably over the service period when the only undelivered elements are either professional services or maintenance and support. We have VSOE for maintenance and support elements and professional services elements performed on a time and materials basis. VSOE of fair value is based upon the price charged when the same element is sold separately. In determining VSOE of fair value, we require that a substantial majority of the selling prices fall within a reasonably narrow pricing range. We reassess VSOE annually or more frequently if required.</w:t>
      </w:r>
    </w:p>
    <w:p>
      <w:pPr>
        <w:spacing w:after="0" w:line="27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Deferred revenue primarily consists of amounts billed or billable in advance of revenue recognition from our subscriptions, software, and support and professional services described above. Deferred revenue is recognized as the revenue recognition criteria are met.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Subscriptions, Software and Support Revenue</w:t>
      </w:r>
    </w:p>
    <w:p>
      <w:pPr>
        <w:spacing w:after="0" w:line="11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Cost of subscriptions, software and support revenue consists primarily of fees paid to our third-party managed hosting providers and other third-party service providers, personnel costs, including payroll and benefits for our technology operations and customer support teams, and allocated facility costs and overhead.</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 of Professional Services Revenue</w:t>
      </w:r>
    </w:p>
    <w:p>
      <w:pPr>
        <w:spacing w:after="0" w:line="117" w:lineRule="exact"/>
        <w:rPr>
          <w:sz w:val="20"/>
          <w:szCs w:val="20"/>
          <w:color w:val="auto"/>
        </w:rPr>
      </w:pPr>
    </w:p>
    <w:p>
      <w:pPr>
        <w:ind w:right="180" w:firstLine="555"/>
        <w:spacing w:after="0" w:line="342" w:lineRule="auto"/>
        <w:rPr>
          <w:sz w:val="20"/>
          <w:szCs w:val="20"/>
          <w:color w:val="auto"/>
        </w:rPr>
      </w:pPr>
      <w:r>
        <w:rPr>
          <w:rFonts w:ascii="Arial" w:cs="Arial" w:eastAsia="Arial" w:hAnsi="Arial"/>
          <w:sz w:val="16"/>
          <w:szCs w:val="16"/>
          <w:color w:val="auto"/>
        </w:rPr>
        <w:t>Cost of professional services revenue includes all direct and indirect costs to deliver our professional services and training, including employee compensation for our global professional services and training personnel, travel costs, third-party contractor costs and allocated facility costs and overhead.</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Our financial instruments that are exposed to concentration of credit risk consist primarily of cash and cash equivalents and trade accounts receivable. Cash deposits may be in excess of insured limits. We believe that the financial institutions that hold our cash deposits are financially sound and, accordingly, minimal credit risk exists with respect to these balances.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 w:name="page12"/>
    <w:bookmarkEnd w:id="11"/>
    <w:p>
      <w:pPr>
        <w:jc w:val="center"/>
        <w:ind w:left="280" w:right="210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With regard to our customers, credit evaluation and account monitoring procedures are used to minimize the risk of loss. We believe that no additional credit risk beyond amounts provided for collection loss are inherent in accounts receivable. Revenue generated from government agencies represented 15.8% and 16.1% of our revenue for the three and six months ended June 30, 2017, respectively, of which the top three federal government agencies generated 9.2% and 9.9% of our revenue for the three and six months ended June 30, 2017, respectively. Additionally, 25.1% and 24.0% of our revenue during the three and six months ended June 30, 2017, respectively, was generated from foreign customers. Revenue generated from government agencies represented 28.2% and 32.6% of our revenue for the three and six months ended June 30, 2016, respectively, of which the top three federal government agencies generated 15.6% and 22.4% of our revenue for the three and six months ended June 30, 2016, respectively. Additionally, 19.1% and 16.6% of our revenue during the three and six months ended June 30, 2016, respectively, was generated from foreign customers.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Federal government agencies accounted for 16.4% and 17.2% of accounts receivable at June 30, 2017 and December 31, 2016, respectively.</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Accounts receivable are stated at realizable value, net of an allowance for doubtful accounts. The allowance for doubtful accounts is based on our assessment of the collectability of accounts. We regularly review the composition of the accounts receivable aging, historical bad debts, changes in payment patterns, customer creditworthiness and current economic trends. If the financial condition of our customers were to deteriorate, resulting in their inability to make required payments, additional provisions for doubtful accounts would be required and would increase bad debt expense. To date, our allowance and related bad debt write-offs have been nominal. There was no change in the allowance for doubtful accounts from December 31, 2016 to June 30, 2017.</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Deferred commissions are the incremental costs that are directly associated with subscription agreements with customers and consist of sales commissions paid to our direct sales force. Commissions are considered direct and incremental and as such are deferred and amortized over the terms of the related customer contracts consistent with the related revenue. Amortization of deferred commissions is included in sales and marketing expense in the accompanying condensed consolidated statements of operations. Commission expense was $2.7 million and $5.3 million for the three and six months ended June 30, 2017, respectively. Commission expense was $1.8 million and $3.6 million for the three and six months ended June 30, 2016, respectively.</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carrying amounts of our cash and cash equivalents, accounts receivable, accounts payable and accrued expenses approximate fair value as of June 30, 2017 and December 31, 2016 because of the relatively short duration of these instruments. The carrying value of our long-term debt as of December 31, 2016 approximated fair value given interest rates for similar debt instruments available to the Company.</w:t>
      </w:r>
    </w:p>
    <w:p>
      <w:pPr>
        <w:spacing w:after="0" w:line="181"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sectPr>
          <w:pgSz w:w="11900" w:h="16838" w:orient="portrait"/>
          <w:cols w:equalWidth="0" w:num="1">
            <w:col w:w="11400"/>
          </w:cols>
          <w:pgMar w:left="240" w:top="121" w:right="259" w:bottom="1440" w:gutter="0" w:footer="0" w:header="0"/>
        </w:sect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2200"/>
        <w:spacing w:after="0" w:line="387"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Observable inputs based on unadjusted quoted prices in active markets for identical assets or liabilities;</w:t>
      </w:r>
      <w:r>
        <w:rPr>
          <w:rFonts w:ascii="Arial" w:cs="Arial" w:eastAsia="Arial" w:hAnsi="Arial"/>
          <w:sz w:val="16"/>
          <w:szCs w:val="16"/>
          <w:b w:val="1"/>
          <w:bCs w:val="1"/>
          <w:color w:val="auto"/>
        </w:rPr>
        <w:t xml:space="preserve"> Level 2. </w:t>
      </w:r>
      <w:r>
        <w:rPr>
          <w:rFonts w:ascii="Arial" w:cs="Arial" w:eastAsia="Arial" w:hAnsi="Arial"/>
          <w:sz w:val="16"/>
          <w:szCs w:val="16"/>
          <w:color w:val="auto"/>
        </w:rPr>
        <w:t>Inputs, other than quoted prices in active markets, that are observable either directly or indirectly; and</w:t>
      </w:r>
    </w:p>
    <w:p>
      <w:pPr>
        <w:spacing w:after="0" w:line="1" w:lineRule="exact"/>
        <w:rPr>
          <w:sz w:val="20"/>
          <w:szCs w:val="20"/>
          <w:color w:val="auto"/>
        </w:rPr>
      </w:pPr>
    </w:p>
    <w:p>
      <w:pPr>
        <w:jc w:val="center"/>
        <w:ind w:right="1460"/>
        <w:spacing w:after="0"/>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Unobservable inputs for which there is little or no market data, which require us to develop our own assumptions.</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660" w:space="460"/>
            <w:col w:w="10280"/>
          </w:cols>
          <w:pgMar w:left="240" w:top="121" w:right="259" w:bottom="1440" w:gutter="0" w:footer="0" w:header="0"/>
          <w:type w:val="continuous"/>
        </w:sectPr>
      </w:pPr>
    </w:p>
    <w:bookmarkStart w:id="12" w:name="page13"/>
    <w:bookmarkEnd w:id="12"/>
    <w:p>
      <w:pPr>
        <w:jc w:val="center"/>
        <w:ind w:left="300" w:right="208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17"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We evaluate our financial assets and liabilities subject to fair value measurements on a recurring basis to determine the appropriate level in which to classify them for each reporting period. This determination requires significant judgments to be made. After the reclassification of the convertible preferred stock warrant in May 2017, we did not have any assets or liabilities subject to fair value measurements as of June 30, 2017. See Note 8 for further discussion of the warrant reclassification. The following table summarizes the conclusions reached as of December 31, 2016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9"/>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Series A convertible preferred stock warrant(1)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850</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0" w:right="80" w:hanging="552"/>
        <w:spacing w:after="0" w:line="259" w:lineRule="auto"/>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determine the fair value of the convertible preferred stock warrant, we used the Black-Scholes option pricing model (“OPM”). Significant inputs for the OPM included an estimate of the fair value of the Series A convertible preferred stock, the remaining contractual life of the warrant, an estimate of the timing of a liquidity event, a risk-free rate of interest and an estimate of our stock volatility using the volatilities of guideline peer companies.</w:t>
      </w:r>
    </w:p>
    <w:p>
      <w:pPr>
        <w:spacing w:after="0" w:line="29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Assets and Liabilities Measured at Fair Value on a Recurring Basis Using Significant Unobservable Inputs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the changes in our Level 3 instruments measured at fair value on a recurring basis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2016 (in thousands):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1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April 1</w:t>
            </w:r>
          </w:p>
        </w:tc>
        <w:tc>
          <w:tcPr>
            <w:tcW w:w="8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6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7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warrant liability to equity</w:t>
            </w:r>
          </w:p>
        </w:tc>
        <w:tc>
          <w:tcPr>
            <w:tcW w:w="8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(1,191)</w:t>
            </w:r>
          </w:p>
        </w:tc>
        <w:tc>
          <w:tcPr>
            <w:tcW w:w="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Balance as of June 30</w:t>
            </w:r>
          </w:p>
        </w:tc>
        <w:tc>
          <w:tcPr>
            <w:tcW w:w="8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following table presents the changes in our Level 3 instruments measured at fair value on a recurring basis during the six months ended June 30, 2017 and 2016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4"/>
              </w:rPr>
              <w:t>Six Months Ended June 30,</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75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w:t>
            </w: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6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warrant liability to equity</w:t>
            </w:r>
          </w:p>
        </w:tc>
        <w:tc>
          <w:tcPr>
            <w:tcW w:w="8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(1,191)</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Balance as of June 30</w:t>
            </w:r>
          </w:p>
        </w:tc>
        <w:tc>
          <w:tcPr>
            <w:tcW w:w="8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We account for stock-based compensation expense related to stock-based awards based on the estimated fair value of the award on the grant date. We calculate the fair value of stock options using the Black-Scholes OPM. For service-based awards, stock-based compensation expense is recognized on a straight-line basis over the requisite service period. For performance-based awards, stock-based compensation expense is recognized using the accelerated attribution method, based on the probability of satisfying the performance condition. For awards that contain market conditions, compensation expense is measured using a Monte Carlo simulation model and recognized using the accelerated attribution method over the derived service period based on the expected market performance as of the grant date.</w:t>
      </w:r>
    </w:p>
    <w:p>
      <w:pPr>
        <w:spacing w:after="0" w:line="178"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As discussed in “—Recent Accounting Pronouncements,” we have elected to early adopt Accounting Standards Update (“ASU”) No. 2016-09, which, among other things, permits an entity to make an entity-wide policy election to either (1) estimate the number of awards that are expected to vest or</w:t>
      </w:r>
    </w:p>
    <w:p>
      <w:pPr>
        <w:ind w:left="5620" w:right="1160" w:hanging="5612"/>
        <w:spacing w:after="0" w:line="511" w:lineRule="auto"/>
        <w:tabs>
          <w:tab w:leader="none" w:pos="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 for forfeitures when they occur. We have elected to account for forfeitures as they occur, rather than estimate expected forfeitures.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3" w:name="page14"/>
    <w:bookmarkEnd w:id="13"/>
    <w:p>
      <w:pPr>
        <w:jc w:val="center"/>
        <w:ind w:left="260" w:right="212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avail ourselves of this extended transition period and, as a result, we will not adopt new or revised accounting standards on the relevant dates on which adoption of such standards is required for other public companies.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Adopted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Concern </w:t>
      </w:r>
      <w:r>
        <w:rPr>
          <w:rFonts w:ascii="Arial" w:cs="Arial" w:eastAsia="Arial" w:hAnsi="Arial"/>
          <w:sz w:val="17"/>
          <w:szCs w:val="17"/>
          <w:color w:val="auto"/>
        </w:rPr>
        <w:t>(“ASU 2014-15”), which amends ASC Subtopic 205-40 to provide guidance about management’s responsibility to evaluate whether there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substantial doubt about an entity’s ability to continue as a going concern and to provide related disclosures. Specifically, the amendments (1) provide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definition of the term “substantial doubt,” (2) require an evaluation of every reporting period, (3) provide principles for considering the mitigating effect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management’s plans, (4) require certain disclosures when substantial doubt is alleviated as a result of consideration of management’s plans, (5) require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express statement and other disclosures when substantial doubt is not alleviated and (6) require an assessment for a period of one year after the date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are issued. ASU 2014-15 was effective for our year ended December 31, 2016, and its adoption did not have a material impact on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results of operations or cash flows.</w:t>
      </w:r>
    </w:p>
    <w:p>
      <w:pPr>
        <w:spacing w:after="0" w:line="211" w:lineRule="exact"/>
        <w:rPr>
          <w:sz w:val="20"/>
          <w:szCs w:val="20"/>
          <w:color w:val="auto"/>
        </w:rPr>
      </w:pPr>
    </w:p>
    <w:p>
      <w:pPr>
        <w:ind w:right="200" w:firstLine="555"/>
        <w:spacing w:after="0" w:line="272"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Simplifying the Presentation of Debt Issuance Costs</w:t>
      </w:r>
      <w:r>
        <w:rPr>
          <w:rFonts w:ascii="Arial" w:cs="Arial" w:eastAsia="Arial" w:hAnsi="Arial"/>
          <w:sz w:val="17"/>
          <w:szCs w:val="17"/>
          <w:color w:val="auto"/>
        </w:rPr>
        <w:t xml:space="preserve"> (“ASU 2015-03”), which simplifies the presentation of debt issuance costs by requiring that such costs be presented in the condensed consolidated balance sheets as a direct deduction from the carrying value of the associated debt instrument, consistent with debt discounts. Subsequent to the issuance of ASU 2015-03, the SEC staff announced that the presentation of debt issuance costs associated with line-of-credit arrangements may be presented as an asset. This announcement was codified by the FASB in ASU No. 2015-15, </w:t>
      </w:r>
      <w:r>
        <w:rPr>
          <w:rFonts w:ascii="Arial" w:cs="Arial" w:eastAsia="Arial" w:hAnsi="Arial"/>
          <w:sz w:val="17"/>
          <w:szCs w:val="17"/>
          <w:i w:val="1"/>
          <w:iCs w:val="1"/>
          <w:color w:val="auto"/>
        </w:rPr>
        <w:t>Presentation and Subsequent Measurement of Debt Issuance Costs Associated with Line-of-Credit Arrangements</w:t>
      </w:r>
      <w:r>
        <w:rPr>
          <w:rFonts w:ascii="Arial" w:cs="Arial" w:eastAsia="Arial" w:hAnsi="Arial"/>
          <w:sz w:val="17"/>
          <w:szCs w:val="17"/>
          <w:color w:val="auto"/>
        </w:rPr>
        <w:t xml:space="preserve"> (“ASU 2015-15”). ASU 2015-03 and ASU 2015-15 were both effective for our year ended December 31, 2016, and their adoption did not have a material impact on our financial condition, results of operations or cash flows.</w:t>
      </w:r>
    </w:p>
    <w:p>
      <w:pPr>
        <w:spacing w:after="0" w:line="178"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 xml:space="preserve">In April 2015, the FASB issued ASU No. 2015-05, </w:t>
      </w:r>
      <w:r>
        <w:rPr>
          <w:rFonts w:ascii="Arial" w:cs="Arial" w:eastAsia="Arial" w:hAnsi="Arial"/>
          <w:sz w:val="18"/>
          <w:szCs w:val="18"/>
          <w:i w:val="1"/>
          <w:iCs w:val="1"/>
          <w:color w:val="auto"/>
        </w:rPr>
        <w:t>Customer’s Accounting for Fees Paid in a Cloud Computing Arrangement</w:t>
      </w:r>
      <w:r>
        <w:rPr>
          <w:rFonts w:ascii="Arial" w:cs="Arial" w:eastAsia="Arial" w:hAnsi="Arial"/>
          <w:sz w:val="18"/>
          <w:szCs w:val="18"/>
          <w:color w:val="auto"/>
        </w:rPr>
        <w:t xml:space="preserve"> (“ASU 2015-05”), which provides clarification on whether a cloud computing arrangement includes a software license. If a software license is included, the customer should account for the license consistent with its accounting for other software licenses. If a software license is not included, the arrangement should be accounted for as a service contract. ASU 2015-05 was effective for our year ended December 31, 2016, and its adoption did not have a material impact on our financial condition, results of operations or cash flows.</w:t>
      </w:r>
    </w:p>
    <w:p>
      <w:pPr>
        <w:spacing w:after="0" w:line="18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xml:space="preserve"> (“ASU 2015-17”), which requires that all deferred tax assets and liabilities, including any related valuation allowance, be classified as noncurrent on the balance sheet. We elected to early adopt ASU 2015-17 beginning with our year ended December 31, 2015. The adoption of ASU 2015-17 did not have a material impact on our financial condition, results of operations or cash flows.</w:t>
      </w:r>
    </w:p>
    <w:p>
      <w:pPr>
        <w:spacing w:after="0" w:line="187" w:lineRule="exact"/>
        <w:rPr>
          <w:sz w:val="20"/>
          <w:szCs w:val="20"/>
          <w:color w:val="auto"/>
        </w:rPr>
      </w:pPr>
    </w:p>
    <w:p>
      <w:pPr>
        <w:ind w:right="620" w:firstLine="555"/>
        <w:spacing w:after="0" w:line="288"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xml:space="preserve"> (“ASU 2016-09”), which is intended to simplify several aspects of the accounting for share-based payment transactions, including the accounting for income taxes, forfeitures, and statutory tax withholding requirements, as well as classification in the statement of cash flows. We elected to early adopt ASU 2016-</w:t>
      </w:r>
    </w:p>
    <w:p>
      <w:pPr>
        <w:ind w:right="180"/>
        <w:spacing w:after="0" w:line="261" w:lineRule="auto"/>
        <w:rPr>
          <w:sz w:val="20"/>
          <w:szCs w:val="20"/>
          <w:color w:val="auto"/>
        </w:rPr>
      </w:pPr>
      <w:r>
        <w:rPr>
          <w:rFonts w:ascii="Arial" w:cs="Arial" w:eastAsia="Arial" w:hAnsi="Arial"/>
          <w:sz w:val="18"/>
          <w:szCs w:val="18"/>
          <w:color w:val="auto"/>
        </w:rPr>
        <w:t>09 beginning with our year ended December 31, 2016, and have applied the guidance retrospectively. The adoption of ASU 2016-09 did not have a material impact on our financial condition, results of operations or cash flows.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ind w:left="280" w:right="210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provides new guidance for revenue recognition. ASU 2014-09 provides that an entity should recognize revenue to depict the transfer of promised goods or services to customers in an amount that reflects the consideration to which the entity expects to be entitled in exchange for those goods or services. ASU 2014-09 also requires improved disclosures to help users of financial statements better understand the nature, amount, timing, and uncertainty of revenue that is recognized. Entities have the option of using either a full retrospective or modified retrospective approach for the adoption of the standard. In March 2016, the FASB issued ASU No. 2016-08, </w:t>
      </w:r>
      <w:r>
        <w:rPr>
          <w:rFonts w:ascii="Arial" w:cs="Arial" w:eastAsia="Arial" w:hAnsi="Arial"/>
          <w:sz w:val="16"/>
          <w:szCs w:val="16"/>
          <w:i w:val="1"/>
          <w:iCs w:val="1"/>
          <w:color w:val="auto"/>
        </w:rPr>
        <w:t>Principal Versus Agent Considerations (Reporting Revenue Gross Versus Net)</w:t>
      </w:r>
      <w:r>
        <w:rPr>
          <w:rFonts w:ascii="Arial" w:cs="Arial" w:eastAsia="Arial" w:hAnsi="Arial"/>
          <w:sz w:val="16"/>
          <w:szCs w:val="16"/>
          <w:color w:val="auto"/>
        </w:rPr>
        <w:t xml:space="preserve"> (“ASU 2016-08”), which clarifies implementation guidance on principal versus agent considerations in ASU 2014-09. In April 2016, the FASB issued ASU No. 2016-10, </w:t>
      </w:r>
      <w:r>
        <w:rPr>
          <w:rFonts w:ascii="Arial" w:cs="Arial" w:eastAsia="Arial" w:hAnsi="Arial"/>
          <w:sz w:val="16"/>
          <w:szCs w:val="16"/>
          <w:i w:val="1"/>
          <w:iCs w:val="1"/>
          <w:color w:val="auto"/>
        </w:rPr>
        <w:t>Identifying Performance Obligations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Licensing </w:t>
      </w:r>
      <w:r>
        <w:rPr>
          <w:rFonts w:ascii="Arial" w:cs="Arial" w:eastAsia="Arial" w:hAnsi="Arial"/>
          <w:sz w:val="16"/>
          <w:szCs w:val="16"/>
          <w:color w:val="auto"/>
        </w:rPr>
        <w:t>(“ASU 2016-10”), which clarifies the identification of performance obligations and the licensing implementation guidance in ASU 2014-09.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in May 2016, the FASB issued ASU No.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xml:space="preserve"> (“ASU 2016-12”), which clarifies the guidance on assessing collectibility, presentation of sales taxes, noncash consideration and completed contracts and contract modifications at transition. For public entities, the new standard is effective for annual periods and interim periods within those annual periods, beginning after December 15, 2017. For all other entities, the new standard is effective for annual periods beginning after December 15, 2018, and interim periods within those annual periods beginning after December 15, 2019. We intend to avail ourselves of the JOBS Act extended transition period that permits us to defer adoption until January 1, 2019. We are currently evaluating the impact the adoption of these standards will have on our consolidated financial statements.</w:t>
      </w:r>
    </w:p>
    <w:p>
      <w:pPr>
        <w:spacing w:after="0" w:line="172"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We currently plan to adopt the new standard using the full retrospective approach; however, the decision regarding the adoption method has not been finalized. Our final determination will depend on a number of factors such as the significance of the impact of the new standard on our financial results, system readiness, including that of software procured from third-party providers, and our ability to accumulate and analyze the information necessary to assess the impact on prior period financial statements, as necessary.</w:t>
      </w:r>
    </w:p>
    <w:p>
      <w:pPr>
        <w:spacing w:after="0" w:line="18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are in the initial stages of our evaluation of the impact of the new standard on our accounting policies, processes, and system requirements. We have assigned internal resources in addition to the engagement of third-party service providers to assist in the evaluation. Furthermore, we have made and will continue to make investments in systems to enable timely and accurate reporting under the new standard. While we continue to assess all potential impacts under the new standard there is the potential for significant impacts to the timing of recognition of revenue, particularly term license subscriptions and professional services revenue. We also expect an impact to our accounting for contract acquisition costs, both with respect to the amounts that will be capitalized as well as the period of amortization.</w:t>
      </w:r>
    </w:p>
    <w:p>
      <w:pPr>
        <w:spacing w:after="0" w:line="19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Under current industry-specific software revenue recognition guidance, we have historically concluded that we did not have VSOE of fair value of the undelivered services related to term license subscriptions, and accordingly, have recognized term license subscriptions and related services ratably over the subscription term. Professional services included in an arrangement with subscription revenue has also been recognized ratably over the subscription term. The new standard, which does not retain the concept of VSOE, requires an evaluation of whether term license subscriptions and related services, including professional services, are distinct performance obligations and therefore should be separately recognized at a point in time or over time. Depending on the outcome of our evaluation, the timing of when revenue is recognized could change significantly for term license subscriptions and professional services under the new standard.</w:t>
      </w:r>
    </w:p>
    <w:p>
      <w:pPr>
        <w:spacing w:after="0" w:line="189"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which requires that lessees recognize assets and liabilities for leases with lease terms greater than 12 months in the statement of financial position. ASU 2016-02 also requires improved disclosures to help users of financial statements better understand the amount, timing and uncertainty of cash flows arising from leases. The update is effective for fiscal years beginning after December 15, 2019, and interim periods within fiscal years beginning after December 15, 2020. Early adoption is permitted. We are currently evaluating the impact the adoption of ASU 2016-02 will have on our consolidated financial statements.</w:t>
      </w:r>
    </w:p>
    <w:p>
      <w:pPr>
        <w:spacing w:after="0" w:line="173" w:lineRule="exact"/>
        <w:rPr>
          <w:sz w:val="20"/>
          <w:szCs w:val="20"/>
          <w:color w:val="auto"/>
        </w:rPr>
      </w:pPr>
    </w:p>
    <w:p>
      <w:pPr>
        <w:ind w:right="380" w:firstLine="555"/>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Payments </w:t>
      </w:r>
      <w:r>
        <w:rPr>
          <w:rFonts w:ascii="Arial" w:cs="Arial" w:eastAsia="Arial" w:hAnsi="Arial"/>
          <w:sz w:val="16"/>
          <w:szCs w:val="16"/>
          <w:color w:val="auto"/>
        </w:rPr>
        <w:t>(“ASU 2016-15”), which aims to reduce the existing diversity in practice in how certain cash receipts and cash payments are presented and</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in the statement of cash flows. ASU 2016-15 will require adoption on a retrospective basis unless it is impracticable to apply, in which case we would be required to apply the amendments prospectively as of the earliest date practicable. ASU 2016-15 is effective for fiscal years beginning after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jc w:val="center"/>
        <w:ind w:left="280" w:right="210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December 15, 2018, and interim periods within fiscal years beginning after December 15, 2019. Early adoption is permitted. We are currently in the process of evaluating the impact of adoption of this standard on our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w:t>
            </w:r>
          </w:p>
        </w:tc>
        <w:tc>
          <w:tcPr>
            <w:tcW w:w="5660" w:type="dxa"/>
            <w:vAlign w:val="bottom"/>
            <w:gridSpan w:val="2"/>
          </w:tcPr>
          <w:p>
            <w:pPr>
              <w:ind w:left="240"/>
              <w:spacing w:after="0"/>
              <w:rPr>
                <w:sz w:val="20"/>
                <w:szCs w:val="20"/>
                <w:color w:val="auto"/>
              </w:rPr>
            </w:pPr>
            <w:r>
              <w:rPr>
                <w:rFonts w:ascii="Arial" w:cs="Arial" w:eastAsia="Arial" w:hAnsi="Arial"/>
                <w:sz w:val="18"/>
                <w:szCs w:val="18"/>
                <w:b w:val="1"/>
                <w:bCs w:val="1"/>
                <w:color w:val="auto"/>
              </w:rPr>
              <w:t>Accrued Expenses</w:t>
            </w:r>
          </w:p>
        </w:tc>
        <w:tc>
          <w:tcPr>
            <w:tcW w:w="1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20" w:type="dxa"/>
            <w:vAlign w:val="bottom"/>
          </w:tcPr>
          <w:p>
            <w:pPr>
              <w:spacing w:after="0"/>
              <w:rPr>
                <w:sz w:val="24"/>
                <w:szCs w:val="24"/>
                <w:color w:val="auto"/>
              </w:rPr>
            </w:pPr>
          </w:p>
        </w:tc>
        <w:tc>
          <w:tcPr>
            <w:tcW w:w="5660" w:type="dxa"/>
            <w:vAlign w:val="bottom"/>
            <w:gridSpan w:val="2"/>
          </w:tcPr>
          <w:p>
            <w:pPr>
              <w:ind w:left="200"/>
              <w:spacing w:after="0"/>
              <w:rPr>
                <w:sz w:val="20"/>
                <w:szCs w:val="20"/>
                <w:color w:val="auto"/>
              </w:rPr>
            </w:pPr>
            <w:r>
              <w:rPr>
                <w:rFonts w:ascii="Arial" w:cs="Arial" w:eastAsia="Arial" w:hAnsi="Arial"/>
                <w:sz w:val="18"/>
                <w:szCs w:val="18"/>
                <w:color w:val="auto"/>
              </w:rPr>
              <w:t>Accrued expenses consist of the following:</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60" w:type="dxa"/>
            <w:vAlign w:val="bottom"/>
          </w:tcPr>
          <w:p>
            <w:pPr>
              <w:jc w:val="right"/>
              <w:ind w:right="6"/>
              <w:spacing w:after="0"/>
              <w:rPr>
                <w:sz w:val="20"/>
                <w:szCs w:val="20"/>
                <w:color w:val="auto"/>
              </w:rPr>
            </w:pPr>
            <w:r>
              <w:rPr>
                <w:rFonts w:ascii="Arial" w:cs="Arial" w:eastAsia="Arial" w:hAnsi="Arial"/>
                <w:sz w:val="14"/>
                <w:szCs w:val="14"/>
                <w:b w:val="1"/>
                <w:bCs w:val="1"/>
                <w:color w:val="auto"/>
              </w:rPr>
              <w:t>June 30, 2017</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contract labor costs</w:t>
            </w:r>
          </w:p>
        </w:tc>
        <w:tc>
          <w:tcPr>
            <w:tcW w:w="1460" w:type="dxa"/>
            <w:vAlign w:val="bottom"/>
            <w:tcBorders>
              <w:top w:val="single" w:sz="8" w:color="auto"/>
            </w:tcBorders>
            <w:shd w:val="clear" w:color="auto" w:fill="CFF0FC"/>
          </w:tcPr>
          <w:p>
            <w:pPr>
              <w:jc w:val="right"/>
              <w:ind w:right="13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marketing and tradeshow expenses</w:t>
            </w:r>
          </w:p>
        </w:tc>
        <w:tc>
          <w:tcPr>
            <w:tcW w:w="1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Accrued deferred offering costs</w:t>
            </w:r>
          </w:p>
        </w:tc>
        <w:tc>
          <w:tcPr>
            <w:tcW w:w="14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Accrued audit and tax expenses</w:t>
            </w:r>
          </w:p>
        </w:tc>
        <w:tc>
          <w:tcPr>
            <w:tcW w:w="1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r>
      <w:tr>
        <w:trPr>
          <w:trHeight w:val="23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4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FF0FC"/>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20" w:type="dxa"/>
            <w:vAlign w:val="bottom"/>
          </w:tcPr>
          <w:p>
            <w:pPr>
              <w:ind w:left="24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ind w:right="130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560" w:hanging="552"/>
        <w:spacing w:after="0"/>
        <w:tabs>
          <w:tab w:leader="none" w:pos="5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Line of Credit</w:t>
      </w:r>
    </w:p>
    <w:p>
      <w:pPr>
        <w:spacing w:after="0" w:line="11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At December 31, 2015, we had a $10.0 million revolving line of credit with a lender, expiring in June 2016, which was subsequently amended in June 2016 to extend the maturity date through June 2017. This line of credit was terminated in April 2017.</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In March 2015, we entered into a collateralized $10.0 million term loan facility with a lender, maturing in March 2019, and borrowed the full amount under the term loan facility in June 2015. In January 2016, we paid off the outstanding balance of the term loan and simultaneously entered into a collateralized $20.0 million term loan facility, maturing in January 2020. We borrowed the full amount under the term loan facility in January 2016, which we repaid in full in April 2017.</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New Financing Facility</w:t>
      </w:r>
    </w:p>
    <w:p>
      <w:pPr>
        <w:spacing w:after="0" w:line="117"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color w:val="auto"/>
        </w:rPr>
        <w:t>In April 2017, we entered into a new financing facility consisting of a $5.0 million senior revolving credit facility, a $20.0 million senior term loan, and a $10.0 million subordinated term loan. In connection with the execution of this financing facility, the prior line of credit was terminated, and we borrowed the full $20.0 million available under the senior term loan and repaid the outstanding balance under our prior term loan. Additionally, in connection with the execution of our new financing facility, the lender waived the prepayment fee associated with our prior line of credit. In June 2017, we used proceeds from our IPO to pay all remaining outstanding principal and interest under the senior term loan and subsequently terminated the senior term loan and subordinated term loan. In connection with the repayment of the senior term loan, we recognized a loss on extinguishment of debt of $0.4 million related to unamortized debt issuance costs, which is included within other (income) expense, net in the accompanying condensed consolidated statements of operations. As of June 30, 2017, we had no outstanding borrowings.</w:t>
      </w:r>
    </w:p>
    <w:p>
      <w:pPr>
        <w:spacing w:after="0" w:line="283"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The provision for income taxes is based upon the estimated annual effective tax rates for the year applied to the current period income (loss) before tax plus the tax effect of any significant unusual items, discrete events or changes in tax law. Our operating subsidiaries are exposed to statutory effective tax rates ranging from zero to approximately 40%. Fluctuations in the distribution of pre-tax income (loss) among our operating subsidiaries can lead to fluctuations of the effective tax rate in the consolidated financial statements. For the three and six months ended June 30, 2017, the actual effective tax rates were (1.2)% and (1.7)%, respectively. For the three and six months ended June 30, 2016, the actual effective tax rates were 22.1% and 12.3%, respectively.</w:t>
      </w:r>
    </w:p>
    <w:p>
      <w:pPr>
        <w:spacing w:after="0" w:line="158"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 xml:space="preserve">We assess uncertain tax positions in accordance with ASC 740-10, </w:t>
      </w:r>
      <w:r>
        <w:rPr>
          <w:rFonts w:ascii="Arial" w:cs="Arial" w:eastAsia="Arial" w:hAnsi="Arial"/>
          <w:sz w:val="18"/>
          <w:szCs w:val="18"/>
          <w:i w:val="1"/>
          <w:iCs w:val="1"/>
          <w:color w:val="auto"/>
        </w:rPr>
        <w:t>Accounting for Uncertainties in Tax</w:t>
      </w:r>
      <w:r>
        <w:rPr>
          <w:rFonts w:ascii="Arial" w:cs="Arial" w:eastAsia="Arial" w:hAnsi="Arial"/>
          <w:sz w:val="18"/>
          <w:szCs w:val="18"/>
          <w:color w:val="auto"/>
        </w:rPr>
        <w:t>. As of June 30, 2017, our net unrecognized tax benefits totaled $0.5 million, of which the entire portion would impact our effective tax rate if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recognized. We anticipate that the amount of reasonably possible unrecognized tax benefits that could decrease over the next 12 months due to the expiration of certain statutes of limitations and settlement of tax audits is not material to our consolidated financial statements.</w:t>
      </w:r>
    </w:p>
    <w:p>
      <w:pPr>
        <w:spacing w:after="0" w:line="170" w:lineRule="exact"/>
        <w:rPr>
          <w:sz w:val="20"/>
          <w:szCs w:val="20"/>
          <w:color w:val="auto"/>
        </w:rPr>
      </w:pPr>
    </w:p>
    <w:p>
      <w:pPr>
        <w:ind w:right="520" w:firstLine="555"/>
        <w:spacing w:after="0" w:line="308" w:lineRule="auto"/>
        <w:rPr>
          <w:sz w:val="20"/>
          <w:szCs w:val="20"/>
          <w:color w:val="auto"/>
        </w:rPr>
      </w:pPr>
      <w:r>
        <w:rPr>
          <w:rFonts w:ascii="Arial" w:cs="Arial" w:eastAsia="Arial" w:hAnsi="Arial"/>
          <w:sz w:val="17"/>
          <w:szCs w:val="17"/>
          <w:color w:val="auto"/>
        </w:rPr>
        <w:t>We file income tax returns in the United States federal jurisdiction and in many state and foreign jurisdictions. The tax years 2013 through 2016 remain open to examination by the major taxing jurisdictions to which we are subject. No material examinations are currently open.</w:t>
      </w:r>
    </w:p>
    <w:p>
      <w:pPr>
        <w:spacing w:after="0" w:line="251"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color w:val="auto"/>
        </w:rPr>
        <w:t>In May 2017, our board of directors adopted, and our stockholders approved, the 2017 Equity Incentive Plan (the “2017 Plan”), which became effective as of the date of the final prospectus for our IPO. The 2017 Plan provides for the grant of incentive stock options to employees, and for the grant of nonstatutory stock options, restricted stock awards, restricted stock unit awards, stock appreciation rights, performance-based stock awards and other forms of equity compensation to employees, including officers, and to non-employee directors and consultants. We initially reserved 6,421,442 shares of Class A common stock for issuance under the 2017 Plan, which includes 421,442 shares that remained available for issuance under our 2007 Stock Option Plan (the “2007 Plan”) at the time that the 2017 Plan became effective. The number of shares reserved under the 2017 Plan increases for any shares subject to outstanding awards originally granted under the 2007 Plan that expire or are forfeited prior to exercise. As a result of the adoption of the 2017 Plan, no further grants may be made under the 2007 Plan. As of June 30, 2017, there were 6,444,842 shares of Class A common stock reserved for issuance under the 2017 Plan, all of which were available to be issued.</w:t>
      </w:r>
    </w:p>
    <w:p>
      <w:pPr>
        <w:spacing w:after="0" w:line="74"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The 2007 Plan provided for the grant of stock options to employees, directors, and officers. Options under the 2007 Plan are exercisable into shares of Class B common stock and generally expire ten years from the date of grant. Under the 2007 Plan, the exercise price of each award was established by the board of directors, but could not be less than the fair market value of a share of our common stock on the grant date. Options generally vest upon the satisfaction of both a service condition and a performance condition. The service condition is satisfied at various rates as determined by us, typically on an annual basis over five years. The performance condition required the occurrence of a qualifying event, defined as a change of control transaction or upon the completion of an IPO. The performance condition was satisfied upon the effectiveness of our IPO in May 2017, on which date we recognized $6.2 million of cumulative stock-based compensation expense using the accelerated attribution method from the service start date.</w:t>
      </w:r>
    </w:p>
    <w:p>
      <w:pPr>
        <w:spacing w:after="0" w:line="167" w:lineRule="exact"/>
        <w:rPr>
          <w:sz w:val="20"/>
          <w:szCs w:val="20"/>
          <w:color w:val="auto"/>
        </w:rPr>
      </w:pPr>
    </w:p>
    <w:p>
      <w:pPr>
        <w:ind w:right="120" w:firstLine="555"/>
        <w:spacing w:after="0" w:line="271" w:lineRule="auto"/>
        <w:rPr>
          <w:sz w:val="20"/>
          <w:szCs w:val="20"/>
          <w:color w:val="auto"/>
        </w:rPr>
      </w:pPr>
      <w:r>
        <w:rPr>
          <w:rFonts w:ascii="Arial" w:cs="Arial" w:eastAsia="Arial" w:hAnsi="Arial"/>
          <w:sz w:val="17"/>
          <w:szCs w:val="17"/>
          <w:color w:val="auto"/>
        </w:rPr>
        <w:t>We estimate the fair value of stock options using the Black-Scholes OPM,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its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are not expected to be paid in the near future, which is consistent with our history of not paying dividends.</w:t>
      </w:r>
    </w:p>
    <w:p>
      <w:pPr>
        <w:spacing w:after="0" w:line="179"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following table summarizes the assumptions used to estimate the fair value of stock options granted during the three and six months ended June 30, 2017 and 2016: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9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9"/>
              </w:rPr>
              <w:t>Six Months Ended June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320" w:type="dxa"/>
            <w:vAlign w:val="bottom"/>
            <w:tcBorders>
              <w:bottom w:val="single" w:sz="8" w:color="CFF0FC"/>
            </w:tcBorders>
          </w:tcPr>
          <w:p>
            <w:pPr>
              <w:spacing w:after="0"/>
              <w:rPr>
                <w:sz w:val="13"/>
                <w:szCs w:val="13"/>
                <w:color w:val="auto"/>
              </w:rPr>
            </w:pPr>
          </w:p>
        </w:tc>
        <w:tc>
          <w:tcPr>
            <w:tcW w:w="1760" w:type="dxa"/>
            <w:vAlign w:val="bottom"/>
            <w:tcBorders>
              <w:bottom w:val="single" w:sz="8" w:color="auto"/>
            </w:tcBorders>
            <w:gridSpan w:val="2"/>
          </w:tcPr>
          <w:p>
            <w:pPr>
              <w:jc w:val="right"/>
              <w:ind w:right="65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1780" w:type="dxa"/>
            <w:vAlign w:val="bottom"/>
            <w:tcBorders>
              <w:bottom w:val="single" w:sz="8" w:color="auto"/>
            </w:tcBorders>
            <w:gridSpan w:val="2"/>
          </w:tcPr>
          <w:p>
            <w:pPr>
              <w:jc w:val="right"/>
              <w:ind w:right="670"/>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FF0FC"/>
            </w:tcBorders>
          </w:tcPr>
          <w:p>
            <w:pPr>
              <w:spacing w:after="0"/>
              <w:rPr>
                <w:sz w:val="13"/>
                <w:szCs w:val="13"/>
                <w:color w:val="auto"/>
              </w:rPr>
            </w:pPr>
          </w:p>
        </w:tc>
        <w:tc>
          <w:tcPr>
            <w:tcW w:w="1780" w:type="dxa"/>
            <w:vAlign w:val="bottom"/>
            <w:tcBorders>
              <w:bottom w:val="single" w:sz="8" w:color="auto"/>
            </w:tcBorders>
            <w:gridSpan w:val="2"/>
          </w:tcPr>
          <w:p>
            <w:pPr>
              <w:jc w:val="right"/>
              <w:ind w:right="674"/>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3"/>
                <w:szCs w:val="13"/>
                <w:color w:val="auto"/>
              </w:rPr>
            </w:pPr>
          </w:p>
        </w:tc>
        <w:tc>
          <w:tcPr>
            <w:tcW w:w="1780" w:type="dxa"/>
            <w:vAlign w:val="bottom"/>
            <w:tcBorders>
              <w:bottom w:val="single" w:sz="8" w:color="auto"/>
            </w:tcBorders>
            <w:gridSpan w:val="2"/>
          </w:tcPr>
          <w:p>
            <w:pPr>
              <w:jc w:val="right"/>
              <w:ind w:right="670"/>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- 2.1%</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- 1.5%</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- 2.2%</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00" w:type="dxa"/>
            <w:vAlign w:val="bottom"/>
          </w:tcPr>
          <w:p>
            <w:pPr>
              <w:spacing w:after="0"/>
              <w:rPr>
                <w:sz w:val="19"/>
                <w:szCs w:val="19"/>
                <w:color w:val="auto"/>
              </w:rPr>
            </w:pPr>
          </w:p>
        </w:tc>
        <w:tc>
          <w:tcPr>
            <w:tcW w:w="960" w:type="dxa"/>
            <w:vAlign w:val="bottom"/>
          </w:tcPr>
          <w:p>
            <w:pPr>
              <w:jc w:val="right"/>
              <w:ind w:right="634"/>
              <w:spacing w:after="0"/>
              <w:rPr>
                <w:sz w:val="20"/>
                <w:szCs w:val="20"/>
                <w:color w:val="auto"/>
              </w:rPr>
            </w:pPr>
            <w:r>
              <w:rPr>
                <w:rFonts w:ascii="Arial" w:cs="Arial" w:eastAsia="Arial" w:hAnsi="Arial"/>
                <w:sz w:val="18"/>
                <w:szCs w:val="18"/>
                <w:color w:val="auto"/>
                <w:w w:val="87"/>
              </w:rPr>
              <w:t>6.5</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- 38.8%</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- 42.0%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- 40.6%</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- 42.0%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tcPr>
          <w:p>
            <w:pPr>
              <w:spacing w:after="0"/>
              <w:rPr>
                <w:sz w:val="20"/>
                <w:szCs w:val="20"/>
                <w:color w:val="auto"/>
              </w:rPr>
            </w:pPr>
          </w:p>
        </w:tc>
        <w:tc>
          <w:tcPr>
            <w:tcW w:w="960" w:type="dxa"/>
            <w:vAlign w:val="bottom"/>
          </w:tcPr>
          <w:p>
            <w:pPr>
              <w:jc w:val="right"/>
              <w:ind w:right="634"/>
              <w:spacing w:after="0"/>
              <w:rPr>
                <w:sz w:val="20"/>
                <w:szCs w:val="20"/>
                <w:color w:val="auto"/>
              </w:rPr>
            </w:pPr>
            <w:r>
              <w:rPr>
                <w:rFonts w:ascii="Arial" w:cs="Arial" w:eastAsia="Arial" w:hAnsi="Arial"/>
                <w:sz w:val="18"/>
                <w:szCs w:val="18"/>
                <w:color w:val="auto"/>
                <w:w w:val="84"/>
              </w:rPr>
              <w:t>0%</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01"/>
        </w:trPr>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314"/>
              <w:spacing w:after="0"/>
              <w:rPr>
                <w:sz w:val="20"/>
                <w:szCs w:val="20"/>
                <w:color w:val="auto"/>
              </w:rPr>
            </w:pPr>
            <w:r>
              <w:rPr>
                <w:rFonts w:ascii="Arial" w:cs="Arial" w:eastAsia="Arial" w:hAnsi="Arial"/>
                <w:sz w:val="18"/>
                <w:szCs w:val="18"/>
                <w:color w:val="auto"/>
              </w:rPr>
              <w:t>15</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jc w:val="center"/>
        <w:ind w:left="260" w:right="212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stock option activity for the six months ended June 30,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6,784,448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44,259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rPr>
                <w:sz w:val="20"/>
                <w:szCs w:val="20"/>
                <w:color w:val="auto"/>
              </w:rPr>
            </w:pPr>
            <w:r>
              <w:rPr>
                <w:rFonts w:ascii="Arial" w:cs="Arial" w:eastAsia="Arial" w:hAnsi="Arial"/>
                <w:sz w:val="18"/>
                <w:szCs w:val="18"/>
                <w:color w:val="auto"/>
              </w:rPr>
              <w:t>1,244,200</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(387,240)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(59,720)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2017</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7,581,688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91,793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Exercisable at June 30, 2017</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49,996</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3,031,105</w:t>
            </w: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The weighted average grant-date fair value of options granted during the six months ended June 30, 2017 and 2016 was $5.01 and $3.21 per share, respectively. The total fair value of stock options that vested during the six months ended June 30, 2017 was $4.9 million. No stock options vested during the six months ended June 30, 2016 because a qualifying event had not yet occurred. As of June 30, 2017, the total compensation cost related to nonvested stock options not yet recognized was $14.1 million, which will be recognized over a weighted average period of 4.0 years.</w:t>
      </w:r>
    </w:p>
    <w:p>
      <w:pPr>
        <w:spacing w:after="0" w:line="17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On April 25, 2017, our board of directors modified certain outstanding stock options nearing their expiration date to remove the performance condition. Stock options to purchase an aggregate of 216,160 shares of common stock were modified, and we recognized stock-based compensation expense of $2.4 million related to this modification.</w:t>
      </w:r>
    </w:p>
    <w:p>
      <w:pPr>
        <w:spacing w:after="0" w:line="181"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The following table summarizes the components of our stock-based compensation expense for the three and six months ended June 30, 2017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Three and Six Months Ended</w:t>
            </w:r>
          </w:p>
        </w:tc>
      </w:tr>
      <w:tr>
        <w:trPr>
          <w:trHeight w:val="171"/>
        </w:trPr>
        <w:tc>
          <w:tcPr>
            <w:tcW w:w="9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2017</w:t>
            </w:r>
          </w:p>
        </w:tc>
      </w:tr>
      <w:tr>
        <w:trPr>
          <w:trHeight w:val="223"/>
        </w:trPr>
        <w:tc>
          <w:tcPr>
            <w:tcW w:w="9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 expense related to stock option modifications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9140" w:type="dxa"/>
            <w:vAlign w:val="bottom"/>
          </w:tcPr>
          <w:p>
            <w:pPr>
              <w:spacing w:after="0"/>
              <w:rPr>
                <w:sz w:val="20"/>
                <w:szCs w:val="20"/>
                <w:color w:val="auto"/>
              </w:rPr>
            </w:pPr>
            <w:r>
              <w:rPr>
                <w:rFonts w:ascii="Arial" w:cs="Arial" w:eastAsia="Arial" w:hAnsi="Arial"/>
                <w:sz w:val="18"/>
                <w:szCs w:val="18"/>
                <w:color w:val="auto"/>
              </w:rPr>
              <w:t>Cumulative stock-based compensation expense related to stock options recorded upon</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140" w:type="dxa"/>
            <w:vAlign w:val="bottom"/>
          </w:tcPr>
          <w:p>
            <w:pPr>
              <w:ind w:left="140"/>
              <w:spacing w:after="0"/>
              <w:rPr>
                <w:sz w:val="20"/>
                <w:szCs w:val="20"/>
                <w:color w:val="auto"/>
              </w:rPr>
            </w:pPr>
            <w:r>
              <w:rPr>
                <w:rFonts w:ascii="Arial" w:cs="Arial" w:eastAsia="Arial" w:hAnsi="Arial"/>
                <w:sz w:val="18"/>
                <w:szCs w:val="18"/>
                <w:color w:val="auto"/>
              </w:rPr>
              <w:t>effectiveness of our IPO</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Pr>
          <w:p>
            <w:pPr>
              <w:spacing w:after="0"/>
              <w:rPr>
                <w:sz w:val="20"/>
                <w:szCs w:val="20"/>
                <w:color w:val="auto"/>
              </w:rPr>
            </w:pPr>
          </w:p>
        </w:tc>
      </w:tr>
      <w:tr>
        <w:trPr>
          <w:trHeight w:val="230"/>
        </w:trPr>
        <w:tc>
          <w:tcPr>
            <w:tcW w:w="9140" w:type="dxa"/>
            <w:vAlign w:val="bottom"/>
            <w:shd w:val="clear" w:color="auto" w:fill="CFF0FC"/>
          </w:tcPr>
          <w:p>
            <w:pPr>
              <w:spacing w:after="0"/>
              <w:rPr>
                <w:sz w:val="20"/>
                <w:szCs w:val="20"/>
                <w:color w:val="auto"/>
              </w:rPr>
            </w:pPr>
            <w:r>
              <w:rPr>
                <w:rFonts w:ascii="Arial" w:cs="Arial" w:eastAsia="Arial" w:hAnsi="Arial"/>
                <w:sz w:val="18"/>
                <w:szCs w:val="18"/>
                <w:color w:val="auto"/>
              </w:rPr>
              <w:t>Post-IPO stock-based compensation expense related to stock options</w:t>
            </w:r>
          </w:p>
        </w:tc>
        <w:tc>
          <w:tcPr>
            <w:tcW w:w="12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r>
      <w:tr>
        <w:trPr>
          <w:trHeight w:val="230"/>
        </w:trPr>
        <w:tc>
          <w:tcPr>
            <w:tcW w:w="9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 expense related to the issuance of common stock to directors</w:t>
            </w:r>
          </w:p>
        </w:tc>
        <w:tc>
          <w:tcPr>
            <w:tcW w:w="1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FF0FC"/>
            </w:tcBorders>
          </w:tcPr>
          <w:p>
            <w:pPr>
              <w:spacing w:after="0"/>
              <w:rPr>
                <w:sz w:val="19"/>
                <w:szCs w:val="19"/>
                <w:color w:val="auto"/>
              </w:rPr>
            </w:pPr>
          </w:p>
        </w:tc>
      </w:tr>
      <w:tr>
        <w:trPr>
          <w:trHeight w:val="223"/>
        </w:trPr>
        <w:tc>
          <w:tcPr>
            <w:tcW w:w="91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Stock-based compensation expense is included in the following line items in the accompanying condensed consolidated statements of operations for the three and six months ended June 30, 2017 (in thousands):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Three and Six Months Ended</w:t>
            </w:r>
          </w:p>
        </w:tc>
      </w:tr>
      <w:tr>
        <w:trPr>
          <w:trHeight w:val="171"/>
        </w:trPr>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2017</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3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ind w:left="240"/>
              <w:spacing w:after="0"/>
              <w:rPr>
                <w:sz w:val="20"/>
                <w:szCs w:val="20"/>
                <w:color w:val="auto"/>
              </w:rPr>
            </w:pPr>
            <w:r>
              <w:rPr>
                <w:rFonts w:ascii="Arial" w:cs="Arial" w:eastAsia="Arial" w:hAnsi="Arial"/>
                <w:sz w:val="18"/>
                <w:szCs w:val="18"/>
                <w:color w:val="auto"/>
              </w:rPr>
              <w:t>Subscriptions, software and support</w:t>
            </w:r>
          </w:p>
        </w:tc>
        <w:tc>
          <w:tcPr>
            <w:tcW w:w="1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404</w:t>
            </w:r>
          </w:p>
        </w:tc>
        <w:tc>
          <w:tcPr>
            <w:tcW w:w="60" w:type="dxa"/>
            <w:vAlign w:val="bottom"/>
          </w:tcPr>
          <w:p>
            <w:pPr>
              <w:spacing w:after="0"/>
              <w:rPr>
                <w:sz w:val="19"/>
                <w:szCs w:val="19"/>
                <w:color w:val="auto"/>
              </w:rPr>
            </w:pPr>
          </w:p>
        </w:tc>
      </w:tr>
      <w:tr>
        <w:trPr>
          <w:trHeight w:val="230"/>
        </w:trPr>
        <w:tc>
          <w:tcPr>
            <w:tcW w:w="4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2,423</w:t>
            </w:r>
          </w:p>
        </w:tc>
        <w:tc>
          <w:tcPr>
            <w:tcW w:w="6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w:t>
            </w:r>
          </w:p>
        </w:tc>
        <w:tc>
          <w:tcPr>
            <w:tcW w:w="60" w:type="dxa"/>
            <w:vAlign w:val="bottom"/>
            <w:shd w:val="clear" w:color="auto" w:fill="CFF0FC"/>
          </w:tcPr>
          <w:p>
            <w:pPr>
              <w:spacing w:after="0"/>
              <w:rPr>
                <w:sz w:val="19"/>
                <w:szCs w:val="19"/>
                <w:color w:val="auto"/>
              </w:rPr>
            </w:pPr>
          </w:p>
        </w:tc>
      </w:tr>
      <w:tr>
        <w:trPr>
          <w:trHeight w:val="230"/>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60" w:type="dxa"/>
            <w:vAlign w:val="bottom"/>
            <w:tcBorders>
              <w:bottom w:val="single" w:sz="8" w:color="CFF0FC"/>
            </w:tcBorders>
          </w:tcPr>
          <w:p>
            <w:pPr>
              <w:spacing w:after="0"/>
              <w:rPr>
                <w:sz w:val="19"/>
                <w:szCs w:val="19"/>
                <w:color w:val="auto"/>
              </w:rPr>
            </w:pPr>
          </w:p>
        </w:tc>
      </w:tr>
      <w:tr>
        <w:trPr>
          <w:trHeight w:val="223"/>
        </w:trPr>
        <w:tc>
          <w:tcPr>
            <w:tcW w:w="42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2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555"/>
        <w:spacing w:after="0" w:line="277" w:lineRule="auto"/>
        <w:rPr>
          <w:sz w:val="20"/>
          <w:szCs w:val="20"/>
          <w:color w:val="auto"/>
        </w:rPr>
      </w:pPr>
      <w:r>
        <w:rPr>
          <w:rFonts w:ascii="Arial" w:cs="Arial" w:eastAsia="Arial" w:hAnsi="Arial"/>
          <w:sz w:val="18"/>
          <w:szCs w:val="18"/>
          <w:color w:val="auto"/>
        </w:rPr>
        <w:t>For the three and six months ended June 30, 2016, no stock-based compensation expense was recognized for our stock option awards because a qualifying event had not yet occurred.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ind w:left="280" w:right="210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60" w:right="5980" w:hanging="552"/>
        <w:spacing w:after="0" w:line="378" w:lineRule="auto"/>
        <w:tabs>
          <w:tab w:leader="none" w:pos="55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Preferred Stock and Stockholders’ Equity (Deficit) </w:t>
      </w:r>
      <w:r>
        <w:rPr>
          <w:rFonts w:ascii="Arial" w:cs="Arial" w:eastAsia="Arial" w:hAnsi="Arial"/>
          <w:sz w:val="18"/>
          <w:szCs w:val="18"/>
          <w:b w:val="1"/>
          <w:bCs w:val="1"/>
          <w:i w:val="1"/>
          <w:iCs w:val="1"/>
          <w:color w:val="auto"/>
        </w:rPr>
        <w:t>Convertible Preferred Stock</w:t>
      </w:r>
    </w:p>
    <w:p>
      <w:pPr>
        <w:ind w:right="760" w:firstLine="555"/>
        <w:spacing w:after="0" w:line="308" w:lineRule="auto"/>
        <w:rPr>
          <w:sz w:val="20"/>
          <w:szCs w:val="20"/>
          <w:color w:val="auto"/>
        </w:rPr>
      </w:pPr>
      <w:r>
        <w:rPr>
          <w:rFonts w:ascii="Arial" w:cs="Arial" w:eastAsia="Arial" w:hAnsi="Arial"/>
          <w:sz w:val="17"/>
          <w:szCs w:val="17"/>
          <w:color w:val="auto"/>
        </w:rPr>
        <w:t>Immediately prior to the completion of the IPO, all shares of convertible preferred stock then outstanding were automatically converted into 18,163,158 shares of common stock on a one-for-one basis, and then reclassified as shares of Class B common stock.</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Activity</w:t>
      </w:r>
    </w:p>
    <w:p>
      <w:pPr>
        <w:spacing w:after="0" w:line="117"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following tables present a summary of activity for our convertible preferred stock issued and outstanding for the six months ended June 30, 2017 (dollar amounts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Series A Convertible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Series B Convertible</w:t>
            </w:r>
          </w:p>
        </w:tc>
      </w:tr>
      <w:tr>
        <w:trPr>
          <w:trHeight w:val="171"/>
        </w:trPr>
        <w:tc>
          <w:tcPr>
            <w:tcW w:w="4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w w:val="93"/>
              </w:rPr>
              <w:t>Preferred Stock</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3"/>
              </w:rPr>
              <w:t>Preferred Stock</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3"/>
          </w:tcPr>
          <w:p>
            <w:pPr>
              <w:ind w:left="140"/>
              <w:spacing w:after="0" w:line="155" w:lineRule="exact"/>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333"/>
              <w:spacing w:after="0" w:line="155" w:lineRule="exact"/>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3"/>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3"/>
                <w:szCs w:val="13"/>
                <w:color w:val="auto"/>
              </w:rPr>
            </w:pPr>
          </w:p>
        </w:tc>
      </w:tr>
      <w:tr>
        <w:trPr>
          <w:trHeight w:val="223"/>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2017</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17,915</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12,043,108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6,120,050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4500" w:type="dxa"/>
            <w:vAlign w:val="bottom"/>
          </w:tcPr>
          <w:p>
            <w:pPr>
              <w:ind w:left="240"/>
              <w:spacing w:after="0"/>
              <w:rPr>
                <w:sz w:val="20"/>
                <w:szCs w:val="20"/>
                <w:color w:val="auto"/>
              </w:rPr>
            </w:pPr>
            <w:r>
              <w:rPr>
                <w:rFonts w:ascii="Arial" w:cs="Arial" w:eastAsia="Arial" w:hAnsi="Arial"/>
                <w:sz w:val="18"/>
                <w:szCs w:val="18"/>
                <w:color w:val="auto"/>
              </w:rPr>
              <w:t>Accretion of dividends on convertible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accrued dividend to Series A</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convertible preferred stockholders</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(7,565)</w:t>
            </w:r>
          </w:p>
        </w:tc>
        <w:tc>
          <w:tcPr>
            <w:tcW w:w="3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gridSpan w:val="3"/>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500" w:type="dxa"/>
            <w:vAlign w:val="bottom"/>
          </w:tcPr>
          <w:p>
            <w:pPr>
              <w:ind w:left="240"/>
              <w:spacing w:after="0"/>
              <w:rPr>
                <w:sz w:val="20"/>
                <w:szCs w:val="20"/>
                <w:color w:val="auto"/>
              </w:rPr>
            </w:pPr>
            <w:r>
              <w:rPr>
                <w:rFonts w:ascii="Arial" w:cs="Arial" w:eastAsia="Arial" w:hAnsi="Arial"/>
                <w:sz w:val="18"/>
                <w:szCs w:val="18"/>
                <w:color w:val="auto"/>
              </w:rPr>
              <w:t>Conversion of convertible preferred stock</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to common stock</w:t>
            </w:r>
          </w:p>
        </w:tc>
        <w:tc>
          <w:tcPr>
            <w:tcW w:w="2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(10,707)</w:t>
            </w:r>
          </w:p>
        </w:tc>
        <w:tc>
          <w:tcPr>
            <w:tcW w:w="3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(12,043,108)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(37,500)</w:t>
            </w:r>
          </w:p>
        </w:tc>
        <w:tc>
          <w:tcPr>
            <w:tcW w:w="34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(6,120,050)</w:t>
            </w: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June 30, 2017</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Immediately prior to the completion of the IPO, all shares of common stock then outstanding were converted into Class B common stock on a one-for-one basis. We offered and sold newly authorized shares of Class A common stock in the IPO.</w:t>
      </w:r>
    </w:p>
    <w:p>
      <w:pPr>
        <w:spacing w:after="0" w:line="6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rights of the holders of Class A common stock and Class B common stock are identical, except with respect to voting and conversion rights. The holders of Class A common stock are entitled to one vote per share, and the holders of Class B common stock are entitled to ten votes per share, on all matters that are subject to stockholder vote. The holders of Class B common stock also have approval rights for certain corporate actions. Each share of Class B common stock may be converted into one share of Class A common stock at the option of its holder and will be automatically converted into one share of Class A common stock upon transfer thereof, subject to certain exceptions. In addition, upon the date on which the outstanding shares of Class B common stock represent less than 10% of the aggregate voting power of our capital stock, all outstanding shares of Class B common stock shall convert automatically into Class A common stock.</w:t>
      </w:r>
    </w:p>
    <w:p>
      <w:pPr>
        <w:spacing w:after="0" w:line="293"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We previously issued a warrant to purchase 84,360 shares of Series A convertible preferred stock in conjunction with a credit facility with a lender at an exercise price of $0.88905 per share. Immediately prior to the completion of the IPO, this warrant was converted into a warrant to purchase 84,360 shares of Class B common stock. The fair value at the time of the conversion was $1.2 million and was recorded as additional paid-in capital and a reduction of the preferred stock warrant liability. In May 2017, the warrant holder exercised the warrant and we issued 79,363 shares of Class B common stock through a cashless exercise of the warrant, in accordance with its terms.</w:t>
      </w:r>
    </w:p>
    <w:p>
      <w:pPr>
        <w:spacing w:after="0" w:line="292"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We use the two-class method to compute net loss per common share because we have issued securities, other than common stock, that contractually entitle the holders to participate in dividends and earnings. These participating securities include our convertible preferred stock which have non-forfeitable rights to participate in any dividends declared on our common stock. The two-class method requires earnings for the period to be allocated between common stock and participating securities based upon their respective rights to receive distributed and undistributed earnings.</w:t>
      </w:r>
    </w:p>
    <w:p>
      <w:pPr>
        <w:spacing w:after="0" w:line="17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left="260" w:right="2120"/>
        <w:spacing w:after="0" w:line="275" w:lineRule="auto"/>
        <w:rPr>
          <w:sz w:val="20"/>
          <w:szCs w:val="20"/>
          <w:color w:val="auto"/>
        </w:rPr>
      </w:pPr>
      <w:r>
        <w:rPr>
          <w:rFonts w:ascii="Arial" w:cs="Arial" w:eastAsia="Arial" w:hAnsi="Arial"/>
          <w:sz w:val="18"/>
          <w:szCs w:val="18"/>
          <w:b w:val="1"/>
          <w:bCs w:val="1"/>
          <w:color w:val="auto"/>
        </w:rPr>
        <w:t>APPIAN CORPORATION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166"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Diluted net income (loss) per common share is computed under the two-class method by using the weighted average number of shares of common stock outstanding, plus, for periods with net income attributable to common stockholders, the potential dilutive effects of stock options and warrants. In addition, we analyze the potential dilutive effect of the outstanding participating securities under the “if-converted” method when calculating diluted earnings per share, in which it is assumed that the outstanding participating securities convert into common stock at the beginning of the period or date of issuance, if later. We report the more dilutive of the approaches (two-class or “if-converted”) as our diluted net income per share during the period.</w:t>
      </w:r>
    </w:p>
    <w:p>
      <w:pPr>
        <w:spacing w:after="0" w:line="158"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following securities have been excluded from the calculation of weighted average common shares outstanding because the effect is anti-dilutive or performance or market conditions had not been met at the end of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78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2680" w:type="dxa"/>
            <w:vAlign w:val="bottom"/>
            <w:gridSpan w:val="4"/>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ind w:left="420"/>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Series A convertible preferred stock</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12,043,108</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12,043,108</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Series B convertible preferred stock</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6,120,050</w:t>
            </w: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6,120,050</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Warrant to purchase Series A convertible preferred stock</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84,360</w:t>
            </w:r>
          </w:p>
        </w:tc>
        <w:tc>
          <w:tcPr>
            <w:tcW w:w="26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84,360</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7,581,688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4,658,388</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7,581,688</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4,658,388</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35"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148"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revenue by geography for the three and six months ended June 30, 2017 and 2016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286"/>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4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32,335</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26,275</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61,982</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57,065</w:t>
            </w:r>
          </w:p>
        </w:tc>
        <w:tc>
          <w:tcPr>
            <w:tcW w:w="100" w:type="dxa"/>
            <w:vAlign w:val="bottom"/>
            <w:shd w:val="clear" w:color="auto" w:fill="CFF0FC"/>
          </w:tcPr>
          <w:p>
            <w:pPr>
              <w:spacing w:after="0"/>
              <w:rPr>
                <w:sz w:val="19"/>
                <w:szCs w:val="19"/>
                <w:color w:val="auto"/>
              </w:rPr>
            </w:pPr>
          </w:p>
        </w:tc>
      </w:tr>
      <w:tr>
        <w:trPr>
          <w:trHeight w:val="230"/>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3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12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19,545</w:t>
            </w:r>
          </w:p>
        </w:tc>
        <w:tc>
          <w:tcPr>
            <w:tcW w:w="1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11,366</w:t>
            </w:r>
          </w:p>
        </w:tc>
        <w:tc>
          <w:tcPr>
            <w:tcW w:w="100" w:type="dxa"/>
            <w:vAlign w:val="bottom"/>
            <w:tcBorders>
              <w:bottom w:val="single" w:sz="8" w:color="CFF0FC"/>
            </w:tcBorders>
          </w:tcPr>
          <w:p>
            <w:pPr>
              <w:spacing w:after="0"/>
              <w:rPr>
                <w:sz w:val="19"/>
                <w:szCs w:val="19"/>
                <w:color w:val="auto"/>
              </w:rPr>
            </w:pPr>
          </w:p>
        </w:tc>
      </w:tr>
      <w:tr>
        <w:trPr>
          <w:trHeight w:val="223"/>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43,198</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32,467</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81,527</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68,431</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140" w:firstLine="555"/>
        <w:spacing w:after="0" w:line="286" w:lineRule="auto"/>
        <w:rPr>
          <w:sz w:val="20"/>
          <w:szCs w:val="20"/>
          <w:color w:val="auto"/>
        </w:rPr>
      </w:pPr>
      <w:r>
        <w:rPr>
          <w:rFonts w:ascii="Arial" w:cs="Arial" w:eastAsia="Arial" w:hAnsi="Arial"/>
          <w:sz w:val="17"/>
          <w:szCs w:val="17"/>
          <w:color w:val="auto"/>
        </w:rPr>
        <w:t>With respect to geographic information, revenue is attributed to respective geographies based on the contracting address of the customer. There were no individual foreign countries from which more than 10% of our total revenue was attributable for the three and six months ended June 30, 2017 and 2016. Substantially all of our long-lived assets were held in the United States as of June 30, 2017 and December 31,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0" w:firstLine="555"/>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condensed consolidated financial statements and related notes appearing elsewhere in this Quarterly Report on Form 10-Q and (2) the audited consolidated financial statements and the related notes and management’s discussion and analysis of financial condition and results of operations for the fiscal year ended December 31, 2016 included in the final prospectus for our initial public offering, or IPO, dated as of May 24, 2017 and filed with the Securities and Exchange Commission, or SEC, pursuant to Rule 424(b)(4) (File No. 333-217510).</w:t>
      </w:r>
    </w:p>
    <w:p>
      <w:pPr>
        <w:spacing w:after="0" w:line="188" w:lineRule="exact"/>
        <w:rPr>
          <w:sz w:val="20"/>
          <w:szCs w:val="20"/>
          <w:color w:val="auto"/>
        </w:rPr>
      </w:pPr>
    </w:p>
    <w:p>
      <w:pPr>
        <w:ind w:right="60" w:firstLine="555"/>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Quarterly Report on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0" w:firstLine="555"/>
        <w:spacing w:after="0" w:line="308" w:lineRule="auto"/>
        <w:rPr>
          <w:sz w:val="20"/>
          <w:szCs w:val="20"/>
          <w:color w:val="auto"/>
        </w:rPr>
      </w:pPr>
      <w:r>
        <w:rPr>
          <w:rFonts w:ascii="Arial" w:cs="Arial" w:eastAsia="Arial" w:hAnsi="Arial"/>
          <w:sz w:val="17"/>
          <w:szCs w:val="17"/>
          <w:color w:val="auto"/>
        </w:rPr>
        <w:t>We provide a leading low-code software development platform as a service that enables organizations to rapidly develop powerful and unique applications. The applications created on our platform help companies drive digital transformation and competitive differentiation.</w:t>
      </w:r>
    </w:p>
    <w:p>
      <w:pPr>
        <w:spacing w:after="0" w:line="14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With our platform, organizations can rapidly and easily design, build and implement powerful, enterprise-grade custom applications through our intuitive, visual interface with little or no coding required. Our customers have used applications built on our low-code platform to launch new business lines, automate vital employee workflows, manage complex trading platforms, accelerate drug development and build global procurement systems. With our platform, decision makers can reimagine their products, services, processes and customer interactions by removing much of the complexity and many of the challenges associated with traditional approaches to software development.</w:t>
      </w:r>
    </w:p>
    <w:p>
      <w:pPr>
        <w:spacing w:after="0" w:line="188" w:lineRule="exact"/>
        <w:rPr>
          <w:sz w:val="20"/>
          <w:szCs w:val="20"/>
          <w:color w:val="auto"/>
        </w:rPr>
      </w:pPr>
    </w:p>
    <w:p>
      <w:pPr>
        <w:ind w:right="340" w:firstLine="555"/>
        <w:spacing w:after="0" w:line="312" w:lineRule="auto"/>
        <w:rPr>
          <w:sz w:val="20"/>
          <w:szCs w:val="20"/>
          <w:color w:val="auto"/>
        </w:rPr>
      </w:pPr>
      <w:r>
        <w:rPr>
          <w:rFonts w:ascii="Arial" w:cs="Arial" w:eastAsia="Arial" w:hAnsi="Arial"/>
          <w:sz w:val="16"/>
          <w:szCs w:val="16"/>
          <w:color w:val="auto"/>
        </w:rPr>
        <w:t>In 2016 and 2017, we have generated the majority of our revenue from sales of subscriptions, software and support, which include (1) SaaS subscriptions bundled with maintenance and support and hosting services, and (2) term license subscriptions bundled with maintenance and support. To a lesser extent, we also generate revenue from the sale of perpetual software license agreements and associated maintenance and support agreements.</w:t>
      </w:r>
    </w:p>
    <w:p>
      <w:pPr>
        <w:spacing w:after="0" w:line="14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Our subscription fees are based primarily on the number of users who access and utilize the applications built on our platform. Our customer contracts terms vary from one to five years, with an average length of three years, with most providing for payment in advance on an annual, quarterly or monthly basis. Due to the variability of our billing terms and the episodic nature of our customers purchasing additional subscriptions, we do not believe that changes in our deferred revenue in a given period are directly correlated with our revenue growth.</w:t>
      </w:r>
    </w:p>
    <w:p>
      <w:pPr>
        <w:spacing w:after="0" w:line="18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Since inception, we have invested in our professional services organization to help ensure that customers are able to build and deploy applications on our platform. We have several strategic partnerships, including with Deloitte, KPMG and PricewaterhouseCoopers for them to refer customers to us and then to provide professional services directly to the customers using our platform. We intend to further grow our base of strategic partners to provide broader customer coverage and solution delivery capabilities. In addition, over time we expect professional services revenue as a percentage of total revenue to decline as we increasingly rely on strategic partners to help our customers deploy our software. We believe our investment in professional services, including strategic partners building their practices around Appian, will drive increased adoption of our platform.</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1" w:right="279" w:bottom="1440" w:gutter="0" w:footer="0" w:header="0"/>
        </w:sectPr>
      </w:pPr>
    </w:p>
    <w:bookmarkStart w:id="21" w:name="page22"/>
    <w:bookmarkEnd w:id="21"/>
    <w:p>
      <w:pPr>
        <w:ind w:firstLine="555"/>
        <w:spacing w:after="0" w:line="273" w:lineRule="auto"/>
        <w:rPr>
          <w:sz w:val="20"/>
          <w:szCs w:val="20"/>
          <w:color w:val="auto"/>
        </w:rPr>
      </w:pPr>
      <w:r>
        <w:rPr>
          <w:rFonts w:ascii="Arial" w:cs="Arial" w:eastAsia="Arial" w:hAnsi="Arial"/>
          <w:sz w:val="17"/>
          <w:szCs w:val="17"/>
          <w:color w:val="auto"/>
        </w:rPr>
        <w:t>Our customers include financial services, healthcare, government, telecommunications, media, energy, manufacturing and transportation organizations. Generally, our sales force targets its efforts to organizations with over 1,000 employees and $1 billion in annual revenue. Revenue from government agencies represented 15.8% and 16.1% of our total revenue in the three and six months ended June 30, 2017, respectively. No single end-customer accounted for more than 10% of our total revenue in the three and six months ended June 30, 2017. Revenue from government agencies represented 28.2% and 32.6% of our total revenue in the three and six months ended June 30, 2016, respectively. No single end-customer accounted for more than 10% of our total revenue in the three and six months ended June 30, 2016.</w:t>
      </w:r>
    </w:p>
    <w:p>
      <w:pPr>
        <w:spacing w:after="0" w:line="178" w:lineRule="exact"/>
        <w:rPr>
          <w:sz w:val="20"/>
          <w:szCs w:val="20"/>
          <w:color w:val="auto"/>
        </w:rPr>
      </w:pPr>
    </w:p>
    <w:p>
      <w:pPr>
        <w:ind w:right="240" w:firstLine="555"/>
        <w:spacing w:after="0" w:line="255" w:lineRule="auto"/>
        <w:rPr>
          <w:sz w:val="20"/>
          <w:szCs w:val="20"/>
          <w:color w:val="auto"/>
        </w:rPr>
      </w:pPr>
      <w:r>
        <w:rPr>
          <w:rFonts w:ascii="Arial" w:cs="Arial" w:eastAsia="Arial" w:hAnsi="Arial"/>
          <w:sz w:val="18"/>
          <w:szCs w:val="18"/>
          <w:color w:val="auto"/>
        </w:rPr>
        <w:t>Our platform is designed to be natively multi-lingual to facilitate collaboration and address challenges in multi-national organizations. We offer our platform globally. In the three and six months ended June 30, 2017, 25.1% and 24.0%, respectively, of our total revenue was generated from customers outside of the United States. In the three and six months ended June 30, 2016, 19.1% and 16.6%, respectively, of our total revenue was generated from customers outside of the United States. As of June 30, 2017, we operated in 11 countries. We believe that we have a significant opportunity to grow our international footprint. We are investing in new geographies, including through investment in direct and indirect sales channels, professional services and customer support and implementation partners.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In May 2017, we closed our IPO of 7,187,500 shares of our Class A common stock at an offering price of $12.00 per share, including 937,500 shares pursuant to the underwriters’ option to purchase additional Class A shares, resulting in net proceeds to us of $77.8 million, after deducting underwriting discounts and commissions of $6.0 million and offering expenses of $2.4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Our business model focuses on maximizing the lifetime value of customer relationships, which is a function of the duration of a customer’s deployment of Appian as well as the price and number of subscriptions of Appian that a customer purchases. The costs we incur with respect to any customer may exceed revenue from that customer in earlier periods because we generally recognize costs associated with customer acquisition faster than we generate and recognize the associated revenue. We incur significant customer acquisition costs, including expenses associated with hiring new sales representatives, who generally take more than one year to become productive given the length of our sales cycle, and marketing costs, all of which are expensed as incurred.</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several key factors that affect our performance:</w:t>
      </w:r>
    </w:p>
    <w:p>
      <w:pPr>
        <w:sectPr>
          <w:pgSz w:w="11900" w:h="16838" w:orient="portrait"/>
          <w:cols w:equalWidth="0" w:num="1">
            <w:col w:w="11420"/>
          </w:cols>
          <w:pgMar w:left="240" w:top="571" w:right="239" w:bottom="1440" w:gutter="0" w:footer="0" w:header="0"/>
        </w:sectPr>
      </w:pPr>
    </w:p>
    <w:p>
      <w:pPr>
        <w:spacing w:after="0" w:line="5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Market Adoption of Our Platform. </w:t>
      </w:r>
      <w:r>
        <w:rPr>
          <w:rFonts w:ascii="Arial" w:cs="Arial" w:eastAsia="Arial" w:hAnsi="Arial"/>
          <w:sz w:val="17"/>
          <w:szCs w:val="17"/>
          <w:color w:val="auto"/>
        </w:rPr>
        <w:t>Our ability to grow our customer base and drive market adoption of our platform is affected by the pace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organizations digitally transform. We expect that our revenue growth will be primarily driven by the pace of adoption and penetration of our platform. We offer a leading custom software development platform and intend to continue to invest to expand our customer base. The degree to which prospective customers recognize the need for low-code software that enables organizations to digitally transform, and subsequently allocate budget dollars to purchase our software, will drive our ability to acquire new customers and increase sales to existing customers, which, in turn, will affect our future financial performance.</w:t>
      </w:r>
    </w:p>
    <w:p>
      <w:pPr>
        <w:spacing w:after="0" w:line="70"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b w:val="1"/>
          <w:bCs w:val="1"/>
          <w:i w:val="1"/>
          <w:iCs w:val="1"/>
          <w:color w:val="auto"/>
        </w:rPr>
        <w:t xml:space="preserve">Growth of Our Customer Base. </w:t>
      </w:r>
      <w:r>
        <w:rPr>
          <w:rFonts w:ascii="Arial" w:cs="Arial" w:eastAsia="Arial" w:hAnsi="Arial"/>
          <w:sz w:val="17"/>
          <w:szCs w:val="17"/>
          <w:color w:val="auto"/>
        </w:rPr>
        <w:t>We believe we have a substantial opportunity to grow our customer base. We define a customer as an 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an active subscription or maintenance and support contract related to a perpetual software license as of the specified measurement date. To the extent we contract with one or more entities under common control, we count those entities as separate customers. We have aggressively invested, and intend to continue to invest, in our sales force in order to drive sales to new customers. In particular, we have recently made, and plan to continue to make, investments to enhance the expertise of our sales and marketing organization within our key industry verticals of financial services, healthcare and government. In addition, we have established relationships with strategic partners who work with organizations undergoing digital transformations. Our ability to continue to grow our customer base is dependent, in part, upon our ability to compete within the increasingly competitive markets in which we participate.</w:t>
      </w:r>
    </w:p>
    <w:p>
      <w:pPr>
        <w:spacing w:after="0" w:line="70"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b w:val="1"/>
          <w:bCs w:val="1"/>
          <w:i w:val="1"/>
          <w:iCs w:val="1"/>
          <w:color w:val="auto"/>
        </w:rPr>
        <w:t xml:space="preserve">Further Penetration of Existing Customers. </w:t>
      </w:r>
      <w:r>
        <w:rPr>
          <w:rFonts w:ascii="Arial" w:cs="Arial" w:eastAsia="Arial" w:hAnsi="Arial"/>
          <w:sz w:val="18"/>
          <w:szCs w:val="18"/>
          <w:color w:val="auto"/>
        </w:rPr>
        <w:t>Our sales force seeks to generate additional revenue from existing customers by adding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users to our platform. Many of our customers begin by building a single application and then grow to build dozens of applications on our platform. Generally, the development of new applications on our platform results in the expansion of our user base within an organization and a corresponding increase in</w:t>
      </w:r>
    </w:p>
    <w:p>
      <w:pPr>
        <w:spacing w:after="0" w:line="18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660" w:space="460"/>
            <w:col w:w="10300"/>
          </w:cols>
          <w:pgMar w:left="240" w:top="571" w:right="23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Arial" w:cs="Arial" w:eastAsia="Arial" w:hAnsi="Arial"/>
          <w:sz w:val="16"/>
          <w:szCs w:val="16"/>
          <w:color w:val="auto"/>
        </w:rPr>
        <w:t>revenue to us because we charge subscription fees on a per-user basis for the significant majority of our customer contracts. As a result of this “land and expand” strategy, we have generated significant additional revenue from our customer base. Our ability to increase sales to existing customers will depend on a number of factors, including the size of our sales force and professional services teams, customers’ level of satisfaction with our platform and professional services, pricing, economic conditions and our customers’ overall spending levels.</w:t>
      </w:r>
    </w:p>
    <w:p>
      <w:pPr>
        <w:spacing w:after="0" w:line="4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i w:val="1"/>
          <w:iCs w:val="1"/>
          <w:color w:val="auto"/>
        </w:rPr>
        <w:t xml:space="preserve">Mix of Subscription and Professional Services Revenue. </w:t>
      </w:r>
      <w:r>
        <w:rPr>
          <w:rFonts w:ascii="Arial" w:cs="Arial" w:eastAsia="Arial" w:hAnsi="Arial"/>
          <w:sz w:val="16"/>
          <w:szCs w:val="16"/>
          <w:color w:val="auto"/>
        </w:rPr>
        <w:t>We believe our professional services have driven customer success and facilitated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adoption of our platform by customers. During the initial period of deployment by a customer, we generally provide a greater amount of support in building applications and training than later in the deployment, with a typical engagement extending from two to six months. At the same time, many of our customers have historically purchased subscriptions only for a limited set of their total potential end users. As a result of these factors, the proportion of total revenue for a customer associated with professional services is relatively high during the initial deployment period. Over time, as the need for professional services associated with user deployments decreases and the number of end users increases, we expect the mix of total revenue to shift more toward subscription revenue. In addition, we intend to further grow our base of strategic partners to provide broader customer coverage and solution delivery capabilities. These partners perform professional services with respect to any new service contracts they sign. As we expand the network of strategic partners, we expect the proportion of our total revenue from subscriptions to increase over time relative to professional services. For the three months ended June 30, 2017 and 2016, 51.0% and</w:t>
      </w:r>
    </w:p>
    <w:p>
      <w:pPr>
        <w:spacing w:after="0" w:line="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53.3% of our revenue, respectively, was derived from sales of subscriptions, software and support, while the remaining 49.0% and 46.7%, respectively, was derived from the sale of professional services. For the six months ended June 30, 2017 and 2016, 53.3% and 48.1% of our revenue, respectively, was derived from sales of subscriptions, software and support, while the remaining 46.7% and 51.9%, respectively, was derived from the sale of professional services.</w:t>
      </w:r>
    </w:p>
    <w:p>
      <w:pPr>
        <w:spacing w:after="0" w:line="6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i w:val="1"/>
          <w:iCs w:val="1"/>
          <w:color w:val="auto"/>
        </w:rPr>
        <w:t xml:space="preserve">Investments in Growth. </w:t>
      </w:r>
      <w:r>
        <w:rPr>
          <w:rFonts w:ascii="Arial" w:cs="Arial" w:eastAsia="Arial" w:hAnsi="Arial"/>
          <w:sz w:val="18"/>
          <w:szCs w:val="18"/>
          <w:color w:val="auto"/>
        </w:rPr>
        <w:t>We have made and plan to continue to make investments for long-term growth, including investment in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infrastructure to continuously maximize the power and simplicity of the platform to meet the evolving needs of our customers and to take advantage of our market opportunity. We intend to continue to increase our investment in sales and marketing, as we further expand our sales teams, increase our marketing activities and grow our international operations. We expect to use a portion of the proceeds from our IPO to fund these growth strategies.</w:t>
      </w:r>
    </w:p>
    <w:p>
      <w:pPr>
        <w:spacing w:after="0" w:line="200" w:lineRule="exact"/>
        <w:rPr>
          <w:sz w:val="20"/>
          <w:szCs w:val="20"/>
          <w:color w:val="auto"/>
        </w:rPr>
      </w:pPr>
    </w:p>
    <w:p>
      <w:pPr>
        <w:sectPr>
          <w:pgSz w:w="11900" w:h="16838" w:orient="portrait"/>
          <w:cols w:equalWidth="0" w:num="2">
            <w:col w:w="660" w:space="460"/>
            <w:col w:w="10300"/>
          </w:cols>
          <w:pgMar w:left="240" w:top="449" w:right="23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monitor the following metrics to help us measure and evaluate the effectiveness of our operations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5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6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3"/>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4"/>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Subscription Revenue</w:t>
            </w:r>
          </w:p>
        </w:tc>
        <w:tc>
          <w:tcPr>
            <w:tcW w:w="18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14,366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28,115</w:t>
            </w:r>
          </w:p>
        </w:tc>
        <w:tc>
          <w:tcPr>
            <w:tcW w:w="100" w:type="dxa"/>
            <w:vAlign w:val="bottom"/>
            <w:shd w:val="clear" w:color="auto" w:fill="CFF0FC"/>
          </w:tcPr>
          <w:p>
            <w:pPr>
              <w:spacing w:after="0"/>
              <w:rPr>
                <w:sz w:val="19"/>
                <w:szCs w:val="19"/>
                <w:color w:val="auto"/>
              </w:rPr>
            </w:pPr>
          </w:p>
        </w:tc>
      </w:tr>
      <w:tr>
        <w:trPr>
          <w:trHeight w:val="486"/>
        </w:trPr>
        <w:tc>
          <w:tcPr>
            <w:tcW w:w="4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560" w:type="dxa"/>
            <w:vAlign w:val="bottom"/>
            <w:tcBorders>
              <w:bottom w:val="single" w:sz="8" w:color="CFF0FC"/>
            </w:tcBorders>
          </w:tcPr>
          <w:p>
            <w:pPr>
              <w:spacing w:after="0"/>
              <w:rPr>
                <w:sz w:val="20"/>
                <w:szCs w:val="20"/>
                <w:color w:val="auto"/>
              </w:rPr>
            </w:pPr>
          </w:p>
        </w:tc>
        <w:tc>
          <w:tcPr>
            <w:tcW w:w="18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Subscription Revenue Retention Rate</w:t>
            </w:r>
          </w:p>
        </w:tc>
        <w:tc>
          <w:tcPr>
            <w:tcW w:w="1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5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Subscription Revenue</w:t>
      </w:r>
    </w:p>
    <w:p>
      <w:pPr>
        <w:spacing w:after="0" w:line="117"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Subscription revenue is a portion of our revenue contained in the subscriptions, software and support revenue line of our consolidated statements of operations, and include (1) software as a service, or SaaS, subscriptions bundled with maintenance and support and hosting services, and (2) term license subscriptions bundled with maintenance and support. As we generally sell our software on a per-user basis, our subscription revenue for any customer is primarily determined by the number of users who access and utilize the applications built on our platform, as well as the price paid. We believe that increasing our subscription revenue is an indicator of the demand for our platform, the pace at which the market for our solutions is growing, the productivity of our sales force and strategic relationships in growing our customer base, and our ability to further penetrate our existing customer base.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23" w:name="page24"/>
    <w:bookmarkEnd w:id="23"/>
    <w:p>
      <w:pPr>
        <w:ind w:left="560"/>
        <w:spacing w:after="0"/>
        <w:rPr>
          <w:sz w:val="20"/>
          <w:szCs w:val="20"/>
          <w:color w:val="auto"/>
        </w:rPr>
      </w:pPr>
      <w:r>
        <w:rPr>
          <w:rFonts w:ascii="Arial" w:cs="Arial" w:eastAsia="Arial" w:hAnsi="Arial"/>
          <w:sz w:val="18"/>
          <w:szCs w:val="18"/>
          <w:b w:val="1"/>
          <w:bCs w:val="1"/>
          <w:i w:val="1"/>
          <w:iCs w:val="1"/>
          <w:color w:val="auto"/>
        </w:rPr>
        <w:t>Subscription Revenue Retention Rate</w:t>
      </w:r>
    </w:p>
    <w:p>
      <w:pPr>
        <w:spacing w:after="0" w:line="11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A key factor to our success is the renewal and expansion of subscription agreements with our existing customers. We calculate this metric over a set of customers who have been with us for at least one full year. To calculate our subscription revenue retention rate for a particular trailing 12-month period, we first establish the recurring subscription revenue for the previous trailing 12-month period. This effectively represents recurring dollars that we should expect in the current trailing 12-month period from the cohort of customers from the previous trailing 12-month period without any expansion or contraction. We subsequently measure the recurring subscription revenue in the current trailing 12-month period from the cohort of customers from the previous trailing 12-month period. Subscription revenue retention rate is then calculated by dividing the aggregate recurring subscription revenue in the current trailing 12-month period by the previous trailing 12-month period. This calculation includes the impact on our revenue from customer non-renewals, pricing changes and growth in the number of users on our platform. Our subscription revenue retention rate can fluctuate from period to period due to large customer contracts in any given period. For example, our subscription revenue retention rate in 2015 was impacted by a single upsell that was one-time in nature.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We generate revenue primarily through sales of subscriptions to our platform, as well as professional services. We generally sell our software on a per-user basis. We generally bill customers and collect payment for subscriptions to our platform in advance on an annual, quarterly or monthly basis. In certain instances, we have had customers pay their entire contract value up front.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 is comprised of the following: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Subscriptions, Software and Support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Subscriptions, software and support revenue is primarily derived from:</w:t>
      </w:r>
    </w:p>
    <w:p>
      <w:pPr>
        <w:sectPr>
          <w:pgSz w:w="11900" w:h="16838" w:orient="portrait"/>
          <w:cols w:equalWidth="0" w:num="1">
            <w:col w:w="11420"/>
          </w:cols>
          <w:pgMar w:left="240" w:top="679" w:right="239" w:bottom="1440" w:gutter="0" w:footer="0" w:header="0"/>
        </w:sectPr>
      </w:pPr>
    </w:p>
    <w:p>
      <w:pPr>
        <w:spacing w:after="0" w:line="5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right="4260"/>
        <w:spacing w:after="0" w:line="448" w:lineRule="auto"/>
        <w:rPr>
          <w:sz w:val="20"/>
          <w:szCs w:val="20"/>
          <w:color w:val="auto"/>
        </w:rPr>
      </w:pPr>
      <w:r>
        <w:rPr>
          <w:rFonts w:ascii="Arial" w:cs="Arial" w:eastAsia="Arial" w:hAnsi="Arial"/>
          <w:sz w:val="16"/>
          <w:szCs w:val="16"/>
          <w:color w:val="auto"/>
        </w:rPr>
        <w:t>SaaS subscriptions bundled with maintenance and support and hosting services; and on-premises term license subscriptions bundled with maintenance and support.</w:t>
      </w:r>
    </w:p>
    <w:p>
      <w:pPr>
        <w:spacing w:after="0" w:line="29" w:lineRule="exact"/>
        <w:rPr>
          <w:sz w:val="20"/>
          <w:szCs w:val="20"/>
          <w:color w:val="auto"/>
        </w:rPr>
      </w:pPr>
    </w:p>
    <w:p>
      <w:pPr>
        <w:sectPr>
          <w:pgSz w:w="11900" w:h="16838" w:orient="portrait"/>
          <w:cols w:equalWidth="0" w:num="2">
            <w:col w:w="660" w:space="460"/>
            <w:col w:w="10300"/>
          </w:cols>
          <w:pgMar w:left="240" w:top="679" w:right="2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To a lesser extent, we also generate revenue from the sale of perpetual software license agreements and associated maintenance and support.</w:t>
      </w:r>
    </w:p>
    <w:p>
      <w:pPr>
        <w:spacing w:after="0" w:line="237"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Our maintenance and support agreements provide customers with the right to unspecified software upgrades, maintenance releases and patches released during the term of the maintenance and support agreement on a when-and-if-available basis, and rights to technical support. When our platform is deployed within a customer’s own data center or private cloud, it is installed on the customer’s infrastructure and offered as a term or perpetual license. When our platform is delivered as a SaaS subscription, we handle its operational needs in a third-party hosted data center.</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Our professional services revenue is comprised of fees for consulting services, including application development and deployment assistance and training related to our platform. Over time, as the need for professional services associated with user deployments decreases and the number of end users increases, we expect the mix of total revenue to shift more toward subscription revenue. We have several strategic partnerships, including with Deloitte, KPMG and PricewaterhouseCoopers. Our agreements with our strategic partners have indefinite terms and may be terminated for convenience by either party. We intend to further grow our base of strategic partners to provide broader customer coverage and solution delivery capabilities. These partners refer software subscription customers to us and perform professional services with respect to any new service contracts they originate, increasing our software subscription revenue without any change to our professional services revenue. As we expand the network of strategic partners, we expect professional services revenue to decline as a percentage of total revenue over time since our strategic partners may perform professional services associated with software subscriptions that we sell.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24" w:name="page25"/>
    <w:bookmarkEnd w:id="24"/>
    <w:p>
      <w:pPr>
        <w:ind w:left="5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Subscriptions, Software and Support</w:t>
      </w:r>
    </w:p>
    <w:p>
      <w:pPr>
        <w:spacing w:after="0" w:line="117"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Cost of subscriptions, software and support revenue consists primarily of fees paid to our third-party managed hosting providers and other third-party service providers, personnel costs, including payroll and benefits for our technology operations and customer support teams, and allocated facility costs and overhead. We expect cost of revenue to continue to increase in absolute dollars for the foreseeable future as our customer base grows.</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Cost of professional services revenue includes all direct and indirect costs to deliver our professional services and training, including employee compensation for our global professional services and training personnel, travel costs, third-party contractor costs and allocated facility costs and overhead. The unpredictability of the timing of entering into significant professional services agreements sold on a standalone basis may cause significant fluctuations in our quarterly financial results.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Gross profit and gross margin, or gross profit as a percentage of total revenue, has been, and will continue to be, affected by various factors, including the mix of subscription, software and support revenue and professional services revenue. Subscription pricing, the costs associated with third-party hosting facilities, and the extent to which we expand our professional services to support future growth will impact our gross margins. Our gross margin may fluctuate from period to period based on the above factors.</w:t>
      </w:r>
    </w:p>
    <w:p>
      <w:pPr>
        <w:spacing w:after="0" w:line="18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i w:val="1"/>
          <w:iCs w:val="1"/>
          <w:color w:val="auto"/>
        </w:rPr>
        <w:t xml:space="preserve">Subscriptions, Software and Support Gross Margin. </w:t>
      </w:r>
      <w:r>
        <w:rPr>
          <w:rFonts w:ascii="Arial" w:cs="Arial" w:eastAsia="Arial" w:hAnsi="Arial"/>
          <w:sz w:val="18"/>
          <w:szCs w:val="18"/>
          <w:color w:val="auto"/>
        </w:rPr>
        <w:t>Subscription, software and support gross margin is primarily affected by the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software and support revenue as compared to the growth in, and timing of, costs to support such revenue. We expect to continue to invest in the customer support and SaaS operations to support the growth in the business and the timing of those investments is expected to cause gross margins to fluctuate in the short term but improve over time.</w:t>
      </w:r>
    </w:p>
    <w:p>
      <w:pPr>
        <w:spacing w:after="0" w:line="18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i w:val="1"/>
          <w:iCs w:val="1"/>
          <w:color w:val="auto"/>
        </w:rPr>
        <w:t xml:space="preserve">Professional Services Gross Margin. </w:t>
      </w:r>
      <w:r>
        <w:rPr>
          <w:rFonts w:ascii="Arial" w:cs="Arial" w:eastAsia="Arial" w:hAnsi="Arial"/>
          <w:sz w:val="18"/>
          <w:szCs w:val="18"/>
          <w:color w:val="auto"/>
        </w:rPr>
        <w:t>Professional services gross margin is affected by the growth in our professional services revenue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growth in, and timing of, the cost of our professional services organization as we continue to invest in the growth of our business. Professional services gross margin is also impacted by the ratable recognition of some of our professional services revenue as compared to the recognition of related costs of services in the period incurred.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Operating expenses consist of sales and marketing, research and development and general and administrative expenses. Salaries, bonuses and other personnel-related costs are the most significant components of each of these expense categories.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Sales and Marketing Expense</w:t>
      </w:r>
    </w:p>
    <w:p>
      <w:pPr>
        <w:spacing w:after="0" w:line="117" w:lineRule="exact"/>
        <w:rPr>
          <w:sz w:val="20"/>
          <w:szCs w:val="20"/>
          <w:color w:val="auto"/>
        </w:rPr>
      </w:pPr>
    </w:p>
    <w:p>
      <w:pPr>
        <w:ind w:right="280" w:firstLine="555"/>
        <w:spacing w:after="0" w:line="264" w:lineRule="auto"/>
        <w:rPr>
          <w:sz w:val="20"/>
          <w:szCs w:val="20"/>
          <w:color w:val="auto"/>
        </w:rPr>
      </w:pPr>
      <w:r>
        <w:rPr>
          <w:rFonts w:ascii="Arial" w:cs="Arial" w:eastAsia="Arial" w:hAnsi="Arial"/>
          <w:sz w:val="18"/>
          <w:szCs w:val="18"/>
          <w:color w:val="auto"/>
        </w:rPr>
        <w:t>Sales and marketing expense primarily includes personnel costs, including salaries, bonuses, commissions, stock-based compensation and other personnel costs related to sales teams. Additional expenses in this category include travel and entertainment, marketing and promotional events, marketing activities, subcontracting fees and allocated facility costs and overhead.</w:t>
      </w:r>
    </w:p>
    <w:p>
      <w:pPr>
        <w:spacing w:after="0" w:line="181" w:lineRule="exact"/>
        <w:rPr>
          <w:sz w:val="20"/>
          <w:szCs w:val="20"/>
          <w:color w:val="auto"/>
        </w:rPr>
      </w:pPr>
    </w:p>
    <w:p>
      <w:pPr>
        <w:ind w:right="460" w:firstLine="555"/>
        <w:spacing w:after="0" w:line="312" w:lineRule="auto"/>
        <w:rPr>
          <w:sz w:val="20"/>
          <w:szCs w:val="20"/>
          <w:color w:val="auto"/>
        </w:rPr>
      </w:pPr>
      <w:r>
        <w:rPr>
          <w:rFonts w:ascii="Arial" w:cs="Arial" w:eastAsia="Arial" w:hAnsi="Arial"/>
          <w:sz w:val="16"/>
          <w:szCs w:val="16"/>
          <w:color w:val="auto"/>
        </w:rPr>
        <w:t>In order to continue to grow our business, geographical footprint and brand awareness, we expect to continue investing resources in sales and marketing by increasing the number of sales and account management teams. As a result, we expect sales and marketing expense to increase in absolute dollars as we continue to invest to acquire new customers and further expand usage of our platform within our existing customer base.</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Research and development expense consists primarily of personnel costs for our employees who develop and enhance our platform, including salaries, bonuses, stock-based compensation and other personnel costs. Also included are non-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25" w:name="page26"/>
    <w:bookmarkEnd w:id="25"/>
    <w:p>
      <w:pPr>
        <w:ind w:right="820"/>
        <w:spacing w:after="0" w:line="277" w:lineRule="auto"/>
        <w:rPr>
          <w:sz w:val="20"/>
          <w:szCs w:val="20"/>
          <w:color w:val="auto"/>
        </w:rPr>
      </w:pPr>
      <w:r>
        <w:rPr>
          <w:rFonts w:ascii="Arial" w:cs="Arial" w:eastAsia="Arial" w:hAnsi="Arial"/>
          <w:sz w:val="18"/>
          <w:szCs w:val="18"/>
          <w:color w:val="auto"/>
        </w:rPr>
        <w:t>personnel costs such as subcontracting, consulting and professional fees to third party development resources, allocated facility costs, overhead and depreciation and amortization costs.</w:t>
      </w:r>
    </w:p>
    <w:p>
      <w:pPr>
        <w:spacing w:after="0" w:line="170"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color w:val="auto"/>
        </w:rPr>
        <w:t>Our research and development efforts are focused on enhancing the speed and power of our software platform. We expect research and development expenses to continue to increase as they are critical to maintain and improve our quality of applications and our competitive position.</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right="40" w:firstLine="555"/>
        <w:spacing w:after="0" w:line="279" w:lineRule="auto"/>
        <w:rPr>
          <w:sz w:val="20"/>
          <w:szCs w:val="20"/>
          <w:color w:val="auto"/>
        </w:rPr>
      </w:pPr>
      <w:r>
        <w:rPr>
          <w:rFonts w:ascii="Arial" w:cs="Arial" w:eastAsia="Arial" w:hAnsi="Arial"/>
          <w:sz w:val="17"/>
          <w:szCs w:val="17"/>
          <w:color w:val="auto"/>
        </w:rPr>
        <w:t>General and administrative expense consists primarily of personnel costs, including salaries, bonuses, stock-based compensation and other personnel costs for our administrative, legal, information technology, human resources, finance and accounting employees and executives. Additional expenses included in this category are non-personnel costs, such as travel-related expenses, contracting and professional fees, audit fees, tax services and legal fees, as well as insurance and other corporate expenses, along with allocated facility costs and overhead.</w:t>
      </w:r>
    </w:p>
    <w:p>
      <w:pPr>
        <w:spacing w:after="0" w:line="63" w:lineRule="exact"/>
        <w:rPr>
          <w:sz w:val="20"/>
          <w:szCs w:val="20"/>
          <w:color w:val="auto"/>
        </w:rPr>
      </w:pPr>
    </w:p>
    <w:p>
      <w:pPr>
        <w:ind w:right="340" w:firstLine="555"/>
        <w:spacing w:after="0" w:line="308" w:lineRule="auto"/>
        <w:rPr>
          <w:sz w:val="20"/>
          <w:szCs w:val="20"/>
          <w:color w:val="auto"/>
        </w:rPr>
      </w:pPr>
      <w:r>
        <w:rPr>
          <w:rFonts w:ascii="Arial" w:cs="Arial" w:eastAsia="Arial" w:hAnsi="Arial"/>
          <w:sz w:val="17"/>
          <w:szCs w:val="17"/>
          <w:color w:val="auto"/>
        </w:rPr>
        <w:t>We expect our general and administrative expense to increase in absolute dollars as we continue to support our growth. We also anticipate that we will incur additional costs for personnel and consulting and professional fees as a result of operating as a newly public company.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4"/>
          </w:tcPr>
          <w:p>
            <w:pPr>
              <w:jc w:val="right"/>
              <w:ind w:right="25"/>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Revenue: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Subscriptions, software and support</w:t>
            </w:r>
          </w:p>
        </w:tc>
        <w:tc>
          <w:tcPr>
            <w:tcW w:w="15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22,012</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w:t>
            </w:r>
          </w:p>
        </w:tc>
        <w:tc>
          <w:tcPr>
            <w:tcW w:w="2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43,456</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32,938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21,186</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43,198</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68,431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Cost of revenue: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Subscriptions, software and support</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Professional services</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14,149</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cost of revenue</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16,637</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26,561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18,908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22,775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13,831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8,248</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23,445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43,468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Operating loss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(14,820)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(734)</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before income taxes</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(1,217)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(14,459)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63" w:right="21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color w:val="auto"/>
        </w:rPr>
        <w:t>The following table sets forth our consolidated statements of operations data expressed as a percentage of total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7"/>
          </w:tcPr>
          <w:p>
            <w:pPr>
              <w:jc w:val="right"/>
              <w:ind w:right="145"/>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9"/>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bottom w:val="single" w:sz="8" w:color="CFF0FC"/>
            </w:tcBorders>
          </w:tcPr>
          <w:p>
            <w:pPr>
              <w:spacing w:after="0"/>
              <w:rPr>
                <w:sz w:val="13"/>
                <w:szCs w:val="13"/>
                <w:color w:val="auto"/>
              </w:rPr>
            </w:pPr>
          </w:p>
        </w:tc>
        <w:tc>
          <w:tcPr>
            <w:tcW w:w="4540" w:type="dxa"/>
            <w:vAlign w:val="bottom"/>
            <w:tcBorders>
              <w:bottom w:val="single" w:sz="8" w:color="CFF0FC"/>
            </w:tcBorders>
          </w:tcPr>
          <w:p>
            <w:pPr>
              <w:spacing w:after="0"/>
              <w:rPr>
                <w:sz w:val="13"/>
                <w:szCs w:val="13"/>
                <w:color w:val="auto"/>
              </w:rPr>
            </w:pPr>
          </w:p>
        </w:tc>
        <w:tc>
          <w:tcPr>
            <w:tcW w:w="6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560" w:type="dxa"/>
            <w:vAlign w:val="bottom"/>
            <w:tcBorders>
              <w:bottom w:val="single" w:sz="8" w:color="CFF0FC"/>
            </w:tcBorders>
            <w:gridSpan w:val="3"/>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w w:val="83"/>
              </w:rPr>
              <w:t>2016</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Subscriptions, software and support</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100.0</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100.0</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100.0</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Subscriptions, software and support</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w w:val="97"/>
              </w:rPr>
              <w:t>(34.3)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26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228"/>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right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before income taxes</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(33.1)</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(21.6)</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54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80" w:type="dxa"/>
            <w:vAlign w:val="bottom"/>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98"/>
              </w:rPr>
              <w:t>(33.5)%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5"/>
              </w:rPr>
              <w:t>(13.3)%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5"/>
              </w:rPr>
              <w:t>(22.0)%</w:t>
            </w: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4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w w:val="99"/>
              </w:rPr>
              <w:t>Comparison of the Three Months Ended June 30, 2017 and 2016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2"/>
          </w:tcPr>
          <w:p>
            <w:pPr>
              <w:ind w:left="560"/>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2"/>
        </w:trPr>
        <w:tc>
          <w:tcPr>
            <w:tcW w:w="9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12"/>
          </w:tcPr>
          <w:p>
            <w:pPr>
              <w:jc w:val="center"/>
              <w:ind w:right="126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5"/>
          </w:tcPr>
          <w:p>
            <w:pPr>
              <w:ind w:left="320"/>
              <w:spacing w:after="0"/>
              <w:rPr>
                <w:sz w:val="20"/>
                <w:szCs w:val="20"/>
                <w:color w:val="auto"/>
              </w:rPr>
            </w:pPr>
            <w:r>
              <w:rPr>
                <w:rFonts w:ascii="Arial" w:cs="Arial" w:eastAsia="Arial" w:hAnsi="Arial"/>
                <w:sz w:val="14"/>
                <w:szCs w:val="14"/>
                <w:b w:val="1"/>
                <w:bCs w:val="1"/>
                <w:color w:val="auto"/>
              </w:rPr>
              <w:t>% Change</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24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60" w:type="dxa"/>
            <w:vAlign w:val="bottom"/>
            <w:gridSpan w:val="10"/>
          </w:tcPr>
          <w:p>
            <w:pPr>
              <w:jc w:val="center"/>
              <w:ind w:right="70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Subscriptions, software and support</w:t>
            </w:r>
          </w:p>
        </w:tc>
        <w:tc>
          <w:tcPr>
            <w:tcW w:w="68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22,012</w:t>
            </w:r>
          </w:p>
        </w:tc>
        <w:tc>
          <w:tcPr>
            <w:tcW w:w="48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17,320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4"/>
          </w:tcPr>
          <w:p>
            <w:pPr>
              <w:ind w:left="660"/>
              <w:spacing w:after="0"/>
              <w:rPr>
                <w:sz w:val="20"/>
                <w:szCs w:val="20"/>
                <w:color w:val="auto"/>
              </w:rPr>
            </w:pPr>
            <w:r>
              <w:rPr>
                <w:rFonts w:ascii="Arial" w:cs="Arial" w:eastAsia="Arial" w:hAnsi="Arial"/>
                <w:sz w:val="18"/>
                <w:szCs w:val="18"/>
                <w:color w:val="auto"/>
                <w:w w:val="97"/>
              </w:rPr>
              <w:t>27.1%</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21,186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5"/>
            <w:shd w:val="clear" w:color="auto" w:fill="CFF0FC"/>
          </w:tcPr>
          <w:p>
            <w:pPr>
              <w:jc w:val="right"/>
              <w:spacing w:after="0"/>
              <w:rPr>
                <w:sz w:val="20"/>
                <w:szCs w:val="20"/>
                <w:color w:val="auto"/>
              </w:rPr>
            </w:pPr>
            <w:r>
              <w:rPr>
                <w:rFonts w:ascii="Arial" w:cs="Arial" w:eastAsia="Arial" w:hAnsi="Arial"/>
                <w:sz w:val="18"/>
                <w:szCs w:val="18"/>
                <w:color w:val="auto"/>
              </w:rPr>
              <w:t>15,147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w w:val="85"/>
              </w:rPr>
              <w:t>39.9</w:t>
            </w:r>
          </w:p>
        </w:tc>
        <w:tc>
          <w:tcPr>
            <w:tcW w:w="220" w:type="dxa"/>
            <w:vAlign w:val="bottom"/>
            <w:tcBorders>
              <w:right w:val="single" w:sz="8" w:color="CFF0FC"/>
            </w:tcBorders>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45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43,198</w:t>
            </w:r>
          </w:p>
        </w:tc>
        <w:tc>
          <w:tcPr>
            <w:tcW w:w="240" w:type="dxa"/>
            <w:vAlign w:val="bottom"/>
            <w:gridSpan w:val="2"/>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32,467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4"/>
          </w:tcPr>
          <w:p>
            <w:pPr>
              <w:ind w:left="660"/>
              <w:spacing w:after="0"/>
              <w:rPr>
                <w:sz w:val="20"/>
                <w:szCs w:val="20"/>
                <w:color w:val="auto"/>
              </w:rPr>
            </w:pPr>
            <w:r>
              <w:rPr>
                <w:rFonts w:ascii="Arial" w:cs="Arial" w:eastAsia="Arial" w:hAnsi="Arial"/>
                <w:sz w:val="18"/>
                <w:szCs w:val="18"/>
                <w:color w:val="auto"/>
                <w:w w:val="97"/>
              </w:rPr>
              <w:t>33.1%</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Total revenue increased $10.7 million, or 33.1%, in the three months ended June 30, 2017 compared to the same period in 2016, due to an increase in our professional services revenue of $6.0 million and an increase in our subscriptions, software and support revenue of $4.7 million. The increase in professional services revenue was due to $1.2 million of additional revenue from existing customers and $4.8 million in sales to new customers. The increase in subscription revenue was attributable to $3.1 million of revenue from expanded deployments and corresponding sales of additional subscriptions to existing customers and $1.6 million in sales of subscriptions to new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ind w:left="5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center"/>
              <w:ind w:right="173"/>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Subscriptions, software and support</w:t>
            </w:r>
          </w:p>
        </w:tc>
        <w:tc>
          <w:tcPr>
            <w:tcW w:w="10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2,488</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1,836</w:t>
            </w:r>
          </w:p>
        </w:tc>
        <w:tc>
          <w:tcPr>
            <w:tcW w:w="300" w:type="dxa"/>
            <w:vAlign w:val="bottom"/>
          </w:tcPr>
          <w:p>
            <w:pPr>
              <w:spacing w:after="0"/>
              <w:rPr>
                <w:sz w:val="19"/>
                <w:szCs w:val="19"/>
                <w:color w:val="auto"/>
              </w:rPr>
            </w:pPr>
          </w:p>
        </w:tc>
        <w:tc>
          <w:tcPr>
            <w:tcW w:w="1200" w:type="dxa"/>
            <w:vAlign w:val="bottom"/>
            <w:gridSpan w:val="2"/>
          </w:tcPr>
          <w:p>
            <w:pPr>
              <w:ind w:left="700"/>
              <w:spacing w:after="0"/>
              <w:rPr>
                <w:sz w:val="20"/>
                <w:szCs w:val="20"/>
                <w:color w:val="auto"/>
              </w:rPr>
            </w:pPr>
            <w:r>
              <w:rPr>
                <w:rFonts w:ascii="Arial" w:cs="Arial" w:eastAsia="Arial" w:hAnsi="Arial"/>
                <w:sz w:val="18"/>
                <w:szCs w:val="18"/>
                <w:color w:val="auto"/>
                <w:w w:val="93"/>
              </w:rPr>
              <w:t>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11,723</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5"/>
              </w:rPr>
              <w:t>20.7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8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13,559</w:t>
            </w:r>
          </w:p>
        </w:tc>
        <w:tc>
          <w:tcPr>
            <w:tcW w:w="30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ind w:left="700"/>
              <w:spacing w:after="0"/>
              <w:rPr>
                <w:sz w:val="20"/>
                <w:szCs w:val="20"/>
                <w:color w:val="auto"/>
              </w:rPr>
            </w:pPr>
            <w:r>
              <w:rPr>
                <w:rFonts w:ascii="Arial" w:cs="Arial" w:eastAsia="Arial" w:hAnsi="Arial"/>
                <w:sz w:val="18"/>
                <w:szCs w:val="18"/>
                <w:color w:val="auto"/>
                <w:w w:val="93"/>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Subscriptions, software and support gross margin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89.4%</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Professional services gross margin</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Total gross margin</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Cost of revenue increased $3.1 million, or 22.7%, in the three months ended June 30, 2017 compared to the same period in 2016, primarily due to a $2.0 million increase in professional services and product support staff personnel costs, a $0.9 million increase in facility and overhead costs and a $0.2 million increase in other cost of revenue. Personnel costs increased due to $1.4 million in stock-based compensation expense and an increase in the number of experienced professional services employees in the three months ended June 30, 2017. Facility and overhead costs increased due to an increase in billable expenses. The increase in other cost of revenue is due to increased hosting costs as sales of our cloud offering increased in the three months ended June 30, 2017.</w:t>
      </w:r>
    </w:p>
    <w:p>
      <w:pPr>
        <w:spacing w:after="0" w:line="193" w:lineRule="exact"/>
        <w:rPr>
          <w:sz w:val="20"/>
          <w:szCs w:val="20"/>
          <w:color w:val="auto"/>
        </w:rPr>
      </w:pPr>
    </w:p>
    <w:p>
      <w:pPr>
        <w:ind w:right="300" w:firstLine="555"/>
        <w:spacing w:after="0" w:line="312" w:lineRule="auto"/>
        <w:rPr>
          <w:sz w:val="20"/>
          <w:szCs w:val="20"/>
          <w:color w:val="auto"/>
        </w:rPr>
      </w:pPr>
      <w:r>
        <w:rPr>
          <w:rFonts w:ascii="Arial" w:cs="Arial" w:eastAsia="Arial" w:hAnsi="Arial"/>
          <w:sz w:val="16"/>
          <w:szCs w:val="16"/>
          <w:color w:val="auto"/>
        </w:rPr>
        <w:t>Gross margin increased to 61.5% in the three months ended June 30, 2017 compared to 58.2% in the same period in 2016 due to an increase in the gross margin of our professional services revenue. The gross margin of our professional services revenue for the three months ended June 30, 2016 was unusually low due to the completion of a large engagement in the quarter and a delay in redeploying the associated resources.</w:t>
      </w:r>
    </w:p>
    <w:p>
      <w:pPr>
        <w:spacing w:after="0" w:line="25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3"/>
          </w:tcPr>
          <w:p>
            <w:pPr>
              <w:jc w:val="center"/>
              <w:ind w:right="17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22,775</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13,831</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 of revenue</w:t>
            </w: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52.7%</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Sales and marketing expense increased $8.9 million, or 64.7%, in the three months ended June 30, 2017 compared to the same period in 2016, primarily due to a $6.4 million increase in sales and marketing personnel costs, a $1.3 million increase in marketing costs, a $1.1 million increase in facility and overhead costs, and a $0.1 million increase in professional fees. Personnel costs increased due to $2.4 million in stock-based compensation expense during the three months ended June 30, 2017, an increase in sales and marketing personnel headcount by 31.9% from June 30, 2016 to June 30, 2017, and increased sales commissions driven by our revenue growth. Marketing costs increased due to a rise in marketing event sponsorship and attendance. Facility and overhead costs as well as contractor costs increased to support our personnel growth.</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3"/>
          </w:tcPr>
          <w:p>
            <w:pPr>
              <w:jc w:val="center"/>
              <w:ind w:right="17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9,971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5,296</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 of revenue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Research and development expense increased $4.7 million, or 88.3%, in the three months ended June 30, 2017 compared to the same period in 2016, primarily due to a $4.4 million increase in research and development personnel costs and a $0.3 million increase in facility and overhead costs. Personnel costs increased due to $2.2 million in stock-based compensation expense during the three months ended June 30, 2017 and an increase in research and development personnel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headcount by 45.4% from June 30, 2016 to June 30, 2017. Facility and overhead costs increased to support our personnel growth.</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5"/>
              </w:rPr>
              <w:t>Three Months Ended</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3"/>
          </w:tcPr>
          <w:p>
            <w:pPr>
              <w:jc w:val="center"/>
              <w:ind w:right="17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8,635</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4,318</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 of revenue</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General and administrative expense increased $4.3 million, or 100.0%, in the three months ended June 30, 2017 compared to the same period in 2016, primarily due to a $3.8 million increase in general and administrative personnel costs, a $0.3 million increase in facility and overhead costs and a $0.2 million increase in professional fees. Personnel costs increased due to $3.3 million in stock-based compensation expense during the three months ended June 30, 2017 and an increase in general and administrative personnel headcount by 21.1% from June 30, 2016 to June 30, 2017. Facility and overhead costs as well as contractor costs increased to support our personnel growth.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2017 and 2016</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5"/>
          </w:tcPr>
          <w:p>
            <w:pPr>
              <w:jc w:val="center"/>
              <w:ind w:right="174"/>
              <w:spacing w:after="0"/>
              <w:rPr>
                <w:sz w:val="20"/>
                <w:szCs w:val="20"/>
                <w:color w:val="auto"/>
              </w:rPr>
            </w:pPr>
            <w:r>
              <w:rPr>
                <w:rFonts w:ascii="Arial" w:cs="Arial" w:eastAsia="Arial" w:hAnsi="Arial"/>
                <w:sz w:val="14"/>
                <w:szCs w:val="14"/>
                <w:b w:val="1"/>
                <w:bCs w:val="1"/>
                <w:color w:val="auto"/>
                <w:w w:val="92"/>
              </w:rPr>
              <w:t>Six Months Ended</w:t>
            </w:r>
          </w:p>
        </w:tc>
        <w:tc>
          <w:tcPr>
            <w:tcW w:w="200" w:type="dxa"/>
            <w:vAlign w:val="bottom"/>
          </w:tcPr>
          <w:p>
            <w:pPr>
              <w:spacing w:after="0"/>
              <w:rPr>
                <w:sz w:val="14"/>
                <w:szCs w:val="14"/>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4"/>
          </w:tcPr>
          <w:p>
            <w:pPr>
              <w:jc w:val="center"/>
              <w:ind w:left="480"/>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40"/>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5"/>
          </w:tcPr>
          <w:p>
            <w:pPr>
              <w:jc w:val="center"/>
              <w:ind w:right="174"/>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Subscriptions, software and support</w:t>
            </w:r>
          </w:p>
        </w:tc>
        <w:tc>
          <w:tcPr>
            <w:tcW w:w="1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43,456</w:t>
            </w:r>
          </w:p>
        </w:tc>
        <w:tc>
          <w:tcPr>
            <w:tcW w:w="180" w:type="dxa"/>
            <w:vAlign w:val="bottom"/>
          </w:tcPr>
          <w:p>
            <w:pPr>
              <w:spacing w:after="0"/>
              <w:rPr>
                <w:sz w:val="19"/>
                <w:szCs w:val="19"/>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32,938</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w:t>
            </w:r>
          </w:p>
        </w:tc>
        <w:tc>
          <w:tcPr>
            <w:tcW w:w="1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128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81,527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68,431</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55"/>
        <w:spacing w:after="0" w:line="297" w:lineRule="auto"/>
        <w:rPr>
          <w:sz w:val="20"/>
          <w:szCs w:val="20"/>
          <w:color w:val="auto"/>
        </w:rPr>
      </w:pPr>
      <w:r>
        <w:rPr>
          <w:rFonts w:ascii="Arial" w:cs="Arial" w:eastAsia="Arial" w:hAnsi="Arial"/>
          <w:sz w:val="16"/>
          <w:szCs w:val="16"/>
          <w:color w:val="auto"/>
        </w:rPr>
        <w:t>Total revenue increased $13.1 million, or 19.1%, in the six months ended June 30, 2017 compared to the same period in 2016, due to an increase in our subscriptions, software and support revenue of $10.5 million and an increase in our professional services revenue of $2.6 million. The increase in subscription revenue was attributable to $7.8 million of revenue from expanded deployments and corresponding sales of additional subscriptions to existing customers and $2.7 million in sales of subscriptions to new customers. The increase in professional services revenue was due to $7.5 million of revenue from new customers, offset by the completion of a substantial portion of a government contract during the six months ended June 30, 2016.</w:t>
      </w:r>
    </w:p>
    <w:p>
      <w:pPr>
        <w:spacing w:after="0" w:line="26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3"/>
              </w:rPr>
              <w:t>Six Months Ended</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4"/>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jc w:val="center"/>
              <w:ind w:right="173"/>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Subscriptions, software and support</w:t>
            </w:r>
          </w:p>
        </w:tc>
        <w:tc>
          <w:tcPr>
            <w:tcW w:w="10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4,550</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3,618</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Professional services</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24,777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24,701</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cost of revenue</w:t>
            </w:r>
          </w:p>
        </w:tc>
        <w:tc>
          <w:tcPr>
            <w:tcW w:w="8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28,319</w:t>
            </w:r>
          </w:p>
        </w:tc>
        <w:tc>
          <w:tcPr>
            <w:tcW w:w="30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Subscriptions, software and support gross margin</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89.0%</w:t>
            </w: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Professional services gross margin</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Total gross margin</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Cost of revenue increased $1.0 million, or 3.6%, in the six months ended June 30, 2017 compared to the same period in 2016, primarily due to a $2.8 million increase in professional services and product support staff personnel costs, a $1.0 million increase in facility and overhead costs and a $0.3 million increase in other cost of revenue, offset by a $3.1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9" w:name="page30"/>
    <w:bookmarkEnd w:id="29"/>
    <w:p>
      <w:pPr>
        <w:ind w:right="240"/>
        <w:spacing w:after="0" w:line="276" w:lineRule="auto"/>
        <w:rPr>
          <w:sz w:val="20"/>
          <w:szCs w:val="20"/>
          <w:color w:val="auto"/>
        </w:rPr>
      </w:pPr>
      <w:r>
        <w:rPr>
          <w:rFonts w:ascii="Arial" w:cs="Arial" w:eastAsia="Arial" w:hAnsi="Arial"/>
          <w:sz w:val="17"/>
          <w:szCs w:val="17"/>
          <w:color w:val="auto"/>
        </w:rPr>
        <w:t>decrease in contractor costs. Personnel costs increased due to $1.4 million in stock-based compensation expense and an increase in the number of experienced professional services employees in the six months ended June 30, 2017. Facility and overhead costs increased due to an increase in billable expenses. Contractor costs decreased in the six months ended June 30, 2017 compared to the same period in 2016 as we incurred non-recurring contractor costs in the six months ended June 30, 2016 to support a new customer contract. The increase in other cost of revenue is due to increased hosting costs as sales of our cloud offering increased in the six months ended June 30, 2017.</w:t>
      </w:r>
    </w:p>
    <w:p>
      <w:pPr>
        <w:spacing w:after="0" w:line="173"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Gross margin increased to 64.0% in the six months ended June 30, 2017 compared to 58.6% in the same period in 2016, due to a higher relative proportion of subscriptions, software and support revenue, which has a higher gross margin than our professional services revenue, as well an increase in the gross margin of our professional services revenue.</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Six Months Ended</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3"/>
          </w:tcPr>
          <w:p>
            <w:pPr>
              <w:jc w:val="center"/>
              <w:ind w:right="17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39,778</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24,997</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 of revenue</w:t>
            </w:r>
          </w:p>
        </w:tc>
        <w:tc>
          <w:tcPr>
            <w:tcW w:w="1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48.8%</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Sales and marketing expense increased $14.8 million, or 59.1%, in the six months ended June 30, 2017 compared to the same period in 2016, primarily due to a $10.6 million increase in sales and marketing personnel costs, a $2.3 million increase in facility and overhead costs, a $1.7 million increase in marketing costs and a $0.2 million increase in professional fees. Personnel costs increased due to $2.4 million in stock-based compensation expense during the six months ended June 30, 2017, an increase in sales and marketing personnel headcount by 31.9% from June 30, 2016 to June 30, 2017 and increased sales commissions driven by our revenue growth. Facility and overhead costs increased to support our personnel growth. Marketing costs increased due to a rise in marketing event sponsorship and attendance. Professional fees increased due to an increase in consulting fees.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Six Months Ended</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3"/>
          </w:tcPr>
          <w:p>
            <w:pPr>
              <w:jc w:val="center"/>
              <w:ind w:right="17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17,271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10,223</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 of revenue</w:t>
            </w: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40" w:firstLine="555"/>
        <w:spacing w:after="0" w:line="302" w:lineRule="auto"/>
        <w:rPr>
          <w:sz w:val="20"/>
          <w:szCs w:val="20"/>
          <w:color w:val="auto"/>
        </w:rPr>
      </w:pPr>
      <w:r>
        <w:rPr>
          <w:rFonts w:ascii="Arial" w:cs="Arial" w:eastAsia="Arial" w:hAnsi="Arial"/>
          <w:sz w:val="16"/>
          <w:szCs w:val="16"/>
          <w:color w:val="auto"/>
        </w:rPr>
        <w:t>Research and development expense increased $7.0 million, or 68.9%, in the six months ended June 30, 2017 compared to the same period in 2016, primarily due to a $6.4 million increase in research and development personnel costs and a $0.6 million increase in facility and overhead costs. Personnel costs increased due to $2.2 million in stock-based compensation expense during the six months ended June 30, 2017 and an increase in research and development personnel headcount by 45.4% from June 30, 2016 to June 30, 2017. Facility and overhead costs increased to support our personnel growth.</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3"/>
              </w:rPr>
              <w:t>Six Months Ended</w:t>
            </w: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42"/>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3"/>
          </w:tcPr>
          <w:p>
            <w:pPr>
              <w:jc w:val="center"/>
              <w:ind w:right="176"/>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13,484</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8,248</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 of revenue</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12.1%</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General and administrative expense increased $5.2 million, or 63.5%, in the six months ended June 30, 2017 compared to the same period in 2016, primarily due to a $4.3 million increase in general and administrative personnel costs, a $0.3 million increase in professional fees, a $0.4 million increase in facility and overhead costs and a $0.2 million increase in legal costs. Personnel costs increased due to $3.3 million in stock-based compensation expense during the six months ended June 30, 2017 and an increase in general and administrative personnel headcount by 21.1% from June 30, 2016 to June 30, 2017.</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30" w:name="page31"/>
    <w:bookmarkEnd w:id="30"/>
    <w:p>
      <w:pPr>
        <w:ind w:right="100"/>
        <w:spacing w:after="0" w:line="277" w:lineRule="auto"/>
        <w:rPr>
          <w:sz w:val="20"/>
          <w:szCs w:val="20"/>
          <w:color w:val="auto"/>
        </w:rPr>
      </w:pPr>
      <w:r>
        <w:rPr>
          <w:rFonts w:ascii="Arial" w:cs="Arial" w:eastAsia="Arial" w:hAnsi="Arial"/>
          <w:sz w:val="18"/>
          <w:szCs w:val="18"/>
          <w:color w:val="auto"/>
        </w:rPr>
        <w:t>Facility and overhead costs as well as contractor costs increased to support our personnel growth. Legal costs increased due to the settlement of certain legal matters during the six months ended June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As of June 30, 2017, we had $77.7 million of cash and cash equivalents. On May 31, 2017, we closed our IPO of 7,187,500 shares of our Class A common stock at an offering price of $12.00 per share, including 937,500 shares pursuant to the underwriters’ option to purchase additional Class A shares, resulting in net proceeds to us of $77.8 million, after deducting underwriting discounts and commissions of $6.0 million and offering expenses of $2.4 million.</w:t>
      </w:r>
    </w:p>
    <w:p>
      <w:pPr>
        <w:spacing w:after="0" w:line="187"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believe that our existing cash and cash equivalents, together with any positive cash flows from operations, will be sufficient to support working capital and capital expenditure requirements for at least the next 12 months. Our future capital requirements will depend on many factors, including our growth rate, the timing and extent of spending to support research and development efforts, the expansion of sales and marketing activities, particularly internationally, and the introduction of new and enhanced products and professional services offerings. In the event that additional financing is required from outside sources, we may be unable to raise the funds on acceptable terms, if at all. If we are unable to raise additional capital when desired, our business, operating results and financial condition could be adversely affected.</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summary of our cash flows for the six months ended June 30, 2017 and 2016:</w:t>
      </w:r>
    </w:p>
    <w:p>
      <w:pPr>
        <w:spacing w:after="0" w:line="24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Six Months Ended</w:t>
      </w:r>
    </w:p>
    <w:p>
      <w:pPr>
        <w:jc w:val="center"/>
        <w:ind w:left="77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8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7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2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(5,750)</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(12,292)</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0" w:type="dxa"/>
            <w:vAlign w:val="bottom"/>
          </w:tcPr>
          <w:p>
            <w:pPr>
              <w:spacing w:after="0"/>
              <w:rPr>
                <w:sz w:val="19"/>
                <w:szCs w:val="19"/>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58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100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98"/>
              </w:rPr>
              <w:t>51,635</w:t>
            </w: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17"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We have financed our operations in large part with equity and debt financing arrangements, including net proceeds of $10.0 million from the sale of shares of preferred stock over a period of several years prior to our IPO and the net proceeds from our IPO.</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30, 2017, we had no outstanding borrowings. In April 2017, we terminated our previously existing line of credit and repaid in full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 million outstanding balance of our term loan. In April 2017, we also entered into a new financing facility consisting of a $5.0 million senior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 $20.0 million senior term loan and $10.0 million subordinated term loan. We borrowed the full $20.0 million available under the senior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and, in June 2017, we used proceeds from our IPO to pay all remaining outstanding principal and interest under the senior term loan and subsequently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terminated the senior term loan and subordinated term loan.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Funds</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Our principal uses of cash are funding operations and other working capital requirements. Over the past several years, revenue has increased significantly from year to year and, as a result, cash flows from customer collections have increased. However, operating expenses have also increased as we have invested in growing our business. Our operating cash requirements may increase in the future as we continue to invest in the strategic growth of our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1" w:name="page32"/>
    <w:bookmarkEnd w:id="31"/>
    <w:p>
      <w:pPr>
        <w:ind w:left="56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the six months ended June 30, 2017, net cash used in operating activities of $5.8 million consisted of a net loss of $17.9 million,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$10.5 million in adjustments for non-cash items and $1.6 million of cash provided by changes in working capital. Adjustments for non-cash items consisted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stock-based compensation of $9.3 million, depreciation and amortization expense of $0.5 million, loss on extinguishment of debt of $0.4 million and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adjustment for the warrant liability of $0.3 million. The increase in cash and cash equivalents resulting from changes in working capital primarily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consisted of an increase in accounts payable of $5.3 million and an increase in deferred revenue of $1.7 million, as a result of increased subscription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increase was partially offset by a $2.4 million increase in prepaid expenses and other assets, a $1.2 million increase in accounts receivable,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timing of billings and a higher level of sales, a $0.9 million increase in deferred commissions due to increased sales, a $0.7 million decrease in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related benefits, primarily due to the timing of year-end bonus payments, and a $0.2 million decrease in other liabilities.</w:t>
      </w:r>
    </w:p>
    <w:p>
      <w:pPr>
        <w:spacing w:after="0" w:line="211"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color w:val="auto"/>
        </w:rPr>
        <w:t>For the six months ended June 30, 2016, net cash used in operating activities of $12.3 million consisted of a net loss of $3.5 million, $8.3 million of cash used in changes in working capital and $0.5 million in adjustments for non-cash items. Adjustments for non-cash items consisted of a provision for deferred income taxes of $0.9 million, offset by depreciation and amortization expense of $0.4 million. The decrease in cash and cash equivalents resulting from changes in working capital primarily consisted of an increase in accounts receivable of $10.5 million, primarily due to the timing of billings and a higher level of sales, an increase in prepaid expenses and other assets of $3.4 million and an increase in deferred commissions of $2.1 million due to increased sales. These increases were partially offset by a $3.1 million increase in accrued compensation and related benefits as a result of our increasing headcount, a $3.1 million increase in accounts payable and accrued expenses, a $1.0 million increase in deferred revenue as a result of increased subscription sales, and a $0.5 million increase in other liabilities.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660" w:firstLine="555"/>
        <w:spacing w:after="0" w:line="277" w:lineRule="auto"/>
        <w:rPr>
          <w:sz w:val="20"/>
          <w:szCs w:val="20"/>
          <w:color w:val="auto"/>
        </w:rPr>
      </w:pPr>
      <w:r>
        <w:rPr>
          <w:rFonts w:ascii="Arial" w:cs="Arial" w:eastAsia="Arial" w:hAnsi="Arial"/>
          <w:sz w:val="18"/>
          <w:szCs w:val="18"/>
          <w:color w:val="auto"/>
        </w:rPr>
        <w:t>For the six months ended June 30, 2017 and 2016, net cash used in investing activities was $0.2 million and $0.7 million, respectively, for the purchase of property and equipment.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For the six months ended June 30, 2017, net cash provided by financing activities was $51.6 million, consisting of $80.2 million in proceeds from our IPO, net of underwriting discounts, $19.6 million in proceeds from the issuance of long-term debt, net of issuance costs, and $0.5 million from proceeds received from stock option exercises. These increases were offset by the repayment of $40.0 million of long-term debt, a $7.6 million dividend payment to the Series A preferred stockholders and the payment of deferred IPO costs of $1.1 million. For the six months ended June 30, 2016, net cash provided by financing activities was $10.0 million, consisting of $20.0 million in net borrowings under our term loan, partially offset by $10.0 million in repayments of debt.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firstLine="555"/>
        <w:spacing w:after="0" w:line="312" w:lineRule="auto"/>
        <w:rPr>
          <w:sz w:val="20"/>
          <w:szCs w:val="20"/>
          <w:color w:val="auto"/>
        </w:rPr>
      </w:pPr>
      <w:r>
        <w:rPr>
          <w:rFonts w:ascii="Arial" w:cs="Arial" w:eastAsia="Arial" w:hAnsi="Arial"/>
          <w:sz w:val="16"/>
          <w:szCs w:val="16"/>
          <w:color w:val="auto"/>
        </w:rPr>
        <w:t>As of June 30, 2017, the only material change in our contractual obligations and commitments from those disclosed in the final prospectus for our IPO dated as of May 24, 2017 and filed with the SEC pursuant to Rule 424(b)(4) were the termination of our line of credit and full repayment of $20.0 million in net borrowings under our term loan in April 2017, as described further above under “Liquidity and Capital Resources – Sources of Funds.”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As of June 30, 2017,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or U.S. GAAP,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 Significant estimates embedded in the consolidated financial statements for the period presented include revenue recognition, income taxes, stock-based compensation, and fair value measurements for our preferred stock warrant.</w:t>
      </w:r>
    </w:p>
    <w:p>
      <w:pPr>
        <w:spacing w:after="0" w:line="158"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There have been no material changes in our critical accounting policies from those disclosed in the final prospectus for our IPO dated as of May 24, 2017 and filed with the SEC pursuant to Rule 424(b)(4).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See Note 2 to the unaudited condensed consolidated financial statements in Part I, Item 1 of this Quarterly Report on Form 10-Q for a discussion of recent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8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20" w:firstLine="555"/>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80" w:firstLine="555"/>
        <w:spacing w:after="0" w:line="342" w:lineRule="auto"/>
        <w:rPr>
          <w:sz w:val="20"/>
          <w:szCs w:val="20"/>
          <w:color w:val="auto"/>
        </w:rPr>
      </w:pPr>
      <w:r>
        <w:rPr>
          <w:rFonts w:ascii="Arial" w:cs="Arial" w:eastAsia="Arial" w:hAnsi="Arial"/>
          <w:sz w:val="16"/>
          <w:szCs w:val="16"/>
          <w:color w:val="auto"/>
        </w:rPr>
        <w:t>We had cash and cash equivalents of $77.7 million as of June 30, 2017, which consisted of cash in readily available checking accounts and overnight repurchase investments. These securities are not dependent on interest rate fluctuations that may cause the principal amount of these assets to fluctuate.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June 30, 2017, we had no outstanding borrowings.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100" w:firstLine="555"/>
        <w:spacing w:after="0" w:line="273" w:lineRule="auto"/>
        <w:rPr>
          <w:sz w:val="20"/>
          <w:szCs w:val="20"/>
          <w:color w:val="auto"/>
        </w:rPr>
      </w:pPr>
      <w:r>
        <w:rPr>
          <w:rFonts w:ascii="Arial" w:cs="Arial" w:eastAsia="Arial" w:hAnsi="Arial"/>
          <w:sz w:val="17"/>
          <w:szCs w:val="17"/>
          <w:color w:val="auto"/>
        </w:rPr>
        <w:t>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a portion of operating expenses are incurred outside the United States and are denominated in foreign currencies. Decreases in the relative value of the U.S. dollar to other currencies may negatively affect revenue and other operating results as expressed in U.S. dollars. We do not believe that an immediate 10% increase or decrease in the relative value of the U.S. dollar to other currencies would have a material effect on operating results.</w:t>
      </w:r>
    </w:p>
    <w:p>
      <w:pPr>
        <w:spacing w:after="0" w:line="178" w:lineRule="exact"/>
        <w:rPr>
          <w:sz w:val="20"/>
          <w:szCs w:val="20"/>
          <w:color w:val="auto"/>
        </w:rPr>
      </w:pPr>
    </w:p>
    <w:p>
      <w:pPr>
        <w:ind w:right="20" w:firstLine="555"/>
        <w:spacing w:after="0" w:line="286" w:lineRule="auto"/>
        <w:rPr>
          <w:sz w:val="20"/>
          <w:szCs w:val="20"/>
          <w:color w:val="auto"/>
        </w:rPr>
      </w:pPr>
      <w:r>
        <w:rPr>
          <w:rFonts w:ascii="Arial" w:cs="Arial" w:eastAsia="Arial" w:hAnsi="Arial"/>
          <w:sz w:val="17"/>
          <w:szCs w:val="17"/>
          <w:color w:val="auto"/>
        </w:rPr>
        <w:t>We have experienced and will continue to experience fluctuations in net loss as a result of transaction gains or losses related to remeasuring certain current asset and current liability balances that are denominated in currencies other than the functional currency of the entities in which they are recorded. We have not engaged in the hedging of foreign currency transactions to date, although we may choose to do so in the future.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5" w:right="279" w:bottom="1440" w:gutter="0" w:footer="0" w:header="0"/>
        </w:sectPr>
      </w:pPr>
    </w:p>
    <w:bookmarkStart w:id="33" w:name="page34"/>
    <w:bookmarkEnd w:id="33"/>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2017. Based on the evaluation of our disclosure controls and procedures as of June 30, 2017, our Chief Executive Officer and Chief Financial Officer concluded that, as of such date, our disclosure controls and procedures were effective at the reasonable assurance level.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5" w:right="27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40"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We have recently experienced a period of rapid growth in our headcount and operations.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platform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167" w:lineRule="exact"/>
        <w:rPr>
          <w:sz w:val="20"/>
          <w:szCs w:val="20"/>
          <w:color w:val="auto"/>
        </w:rPr>
      </w:pPr>
    </w:p>
    <w:p>
      <w:pPr>
        <w:jc w:val="both"/>
        <w:ind w:right="140" w:firstLine="555"/>
        <w:spacing w:after="0" w:line="279" w:lineRule="auto"/>
        <w:rPr>
          <w:sz w:val="20"/>
          <w:szCs w:val="20"/>
          <w:color w:val="auto"/>
        </w:rPr>
      </w:pPr>
      <w:r>
        <w:rPr>
          <w:rFonts w:ascii="Arial" w:cs="Arial" w:eastAsia="Arial" w:hAnsi="Arial"/>
          <w:sz w:val="17"/>
          <w:szCs w:val="17"/>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sustain our revenue growth rate, we may not achieve or maintain profitability in the future.</w:t>
      </w:r>
    </w:p>
    <w:p>
      <w:pPr>
        <w:spacing w:after="0" w:line="117" w:lineRule="exact"/>
        <w:rPr>
          <w:sz w:val="20"/>
          <w:szCs w:val="20"/>
          <w:color w:val="auto"/>
        </w:rPr>
      </w:pPr>
    </w:p>
    <w:p>
      <w:pPr>
        <w:ind w:right="360" w:firstLine="555"/>
        <w:spacing w:after="0" w:line="284" w:lineRule="auto"/>
        <w:rPr>
          <w:sz w:val="20"/>
          <w:szCs w:val="20"/>
          <w:color w:val="auto"/>
        </w:rPr>
      </w:pPr>
      <w:r>
        <w:rPr>
          <w:rFonts w:ascii="Arial" w:cs="Arial" w:eastAsia="Arial" w:hAnsi="Arial"/>
          <w:sz w:val="17"/>
          <w:szCs w:val="17"/>
          <w:color w:val="auto"/>
        </w:rPr>
        <w:t>We have experienced revenue growth with revenue of $89.0 million, $111.2 million and $132.9 million in 2014, 2015 and 2016, respectively. Although we have experienced rapid revenue growth historically, we may not continue to grow as rapidly in the future and our revenue growth rates may decline. Any success that we may experience in the future will depend in large part on our ability to, among other things:</w:t>
      </w:r>
    </w:p>
    <w:p>
      <w:pPr>
        <w:sectPr>
          <w:pgSz w:w="11900" w:h="16838" w:orient="portrait"/>
          <w:cols w:equalWidth="0" w:num="1">
            <w:col w:w="11400"/>
          </w:cols>
          <w:pgMar w:left="240" w:top="351" w:right="259" w:bottom="1440" w:gutter="0" w:footer="0" w:header="0"/>
        </w:sectPr>
      </w:pP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maintain and expand our customer base;</w:t>
      </w:r>
    </w:p>
    <w:p>
      <w:pPr>
        <w:spacing w:after="0" w:line="90" w:lineRule="exact"/>
        <w:rPr>
          <w:sz w:val="20"/>
          <w:szCs w:val="20"/>
          <w:color w:val="auto"/>
        </w:rPr>
      </w:pPr>
    </w:p>
    <w:p>
      <w:pPr>
        <w:ind w:right="1800"/>
        <w:spacing w:after="0" w:line="387" w:lineRule="auto"/>
        <w:rPr>
          <w:sz w:val="20"/>
          <w:szCs w:val="20"/>
          <w:color w:val="auto"/>
        </w:rPr>
      </w:pPr>
      <w:r>
        <w:rPr>
          <w:rFonts w:ascii="Arial" w:cs="Arial" w:eastAsia="Arial" w:hAnsi="Arial"/>
          <w:sz w:val="16"/>
          <w:szCs w:val="16"/>
          <w:color w:val="auto"/>
        </w:rPr>
        <w:t>increase revenue from existing customers through increased or broader use of our platform within their organizations; further penetrate the existing industry verticals that we serve and expand into other industry verticals;</w:t>
      </w:r>
    </w:p>
    <w:p>
      <w:pPr>
        <w:spacing w:after="0" w:line="1" w:lineRule="exact"/>
        <w:rPr>
          <w:sz w:val="20"/>
          <w:szCs w:val="20"/>
          <w:color w:val="auto"/>
        </w:rPr>
      </w:pPr>
    </w:p>
    <w:p>
      <w:pPr>
        <w:ind w:right="3580"/>
        <w:spacing w:after="0" w:line="358" w:lineRule="auto"/>
        <w:rPr>
          <w:sz w:val="20"/>
          <w:szCs w:val="20"/>
          <w:color w:val="auto"/>
        </w:rPr>
      </w:pPr>
      <w:r>
        <w:rPr>
          <w:rFonts w:ascii="Arial" w:cs="Arial" w:eastAsia="Arial" w:hAnsi="Arial"/>
          <w:sz w:val="18"/>
          <w:szCs w:val="18"/>
          <w:color w:val="auto"/>
        </w:rPr>
        <w:t>improve the performance and capabilities of our platform through research and development; continue to successfully expand our business domestically and internationally; and successfully compete with other companies.</w:t>
      </w:r>
    </w:p>
    <w:p>
      <w:pPr>
        <w:spacing w:after="0" w:line="8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660" w:space="460"/>
            <w:col w:w="10280"/>
          </w:cols>
          <w:pgMar w:left="240" w:top="351" w:right="259" w:bottom="1440" w:gutter="0" w:footer="0" w:header="0"/>
          <w:type w:val="continuous"/>
        </w:sectPr>
      </w:pPr>
    </w:p>
    <w:bookmarkStart w:id="35" w:name="page36"/>
    <w:bookmarkEnd w:id="35"/>
    <w:p>
      <w:pPr>
        <w:ind w:right="220" w:firstLine="555"/>
        <w:spacing w:after="0" w:line="342"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3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2" w:lineRule="exact"/>
        <w:rPr>
          <w:sz w:val="20"/>
          <w:szCs w:val="20"/>
          <w:color w:val="auto"/>
        </w:rPr>
      </w:pPr>
    </w:p>
    <w:p>
      <w:pPr>
        <w:ind w:right="60" w:firstLine="555"/>
        <w:spacing w:after="0" w:line="269" w:lineRule="auto"/>
        <w:rPr>
          <w:sz w:val="20"/>
          <w:szCs w:val="20"/>
          <w:color w:val="auto"/>
        </w:rPr>
      </w:pPr>
      <w:r>
        <w:rPr>
          <w:rFonts w:ascii="Arial" w:cs="Arial" w:eastAsia="Arial" w:hAnsi="Arial"/>
          <w:sz w:val="17"/>
          <w:szCs w:val="17"/>
          <w:color w:val="auto"/>
        </w:rPr>
        <w:t>As usage of our platform grows and as customers use our platform for more advanced and more frequent projects, we may need to devote additional resources to improving our software architecture, integrating with third-party systems, and maintaining infrastructure performance. In addition, we will need to appropriately scale our internal business as well as grow our partner services systems, including our professional services organization and operations, to serve our growing customer base, particularly as our customer base expands over time. 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which could hurt our revenue growth and our reputation. Even if we are able to upgrade our systems and expand our staff,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a single solution, and the lack of continued market acceptance of our platform could cause our operating results to suffer.</w:t>
      </w:r>
    </w:p>
    <w:p>
      <w:pPr>
        <w:spacing w:after="0" w:line="140"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Sales of our Appian software platform account for substantially all of our subscription revenue and are the source of substantially all of our professional services revenue. We expect that we will be substantially dependent on our platform to generate revenue for the foreseeable future. As a result, our operating results could suffer due to:</w:t>
      </w:r>
    </w:p>
    <w:p>
      <w:pPr>
        <w:sectPr>
          <w:pgSz w:w="11900" w:h="16838" w:orient="portrait"/>
          <w:cols w:equalWidth="0" w:num="1">
            <w:col w:w="11400"/>
          </w:cols>
          <w:pgMar w:left="240" w:top="571" w:right="259" w:bottom="1440" w:gutter="0" w:footer="0" w:header="0"/>
        </w:sectPr>
      </w:pPr>
    </w:p>
    <w:p>
      <w:pPr>
        <w:spacing w:after="0" w:line="12"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any decline in demand for our platform;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failure of our platform to achieve continued market acceptance;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low-code solutions not continuing to grow, or growing more slowly than we expect;</w:t>
      </w:r>
    </w:p>
    <w:p>
      <w:pPr>
        <w:spacing w:after="0" w:line="90" w:lineRule="exact"/>
        <w:rPr>
          <w:sz w:val="20"/>
          <w:szCs w:val="20"/>
          <w:color w:val="auto"/>
        </w:rPr>
      </w:pPr>
    </w:p>
    <w:p>
      <w:pPr>
        <w:ind w:right="300"/>
        <w:spacing w:after="0" w:line="344" w:lineRule="auto"/>
        <w:rPr>
          <w:sz w:val="20"/>
          <w:szCs w:val="20"/>
          <w:color w:val="auto"/>
        </w:rPr>
      </w:pPr>
      <w:r>
        <w:rPr>
          <w:rFonts w:ascii="Arial" w:cs="Arial" w:eastAsia="Arial" w:hAnsi="Arial"/>
          <w:sz w:val="18"/>
          <w:szCs w:val="18"/>
          <w:color w:val="auto"/>
        </w:rPr>
        <w:t>the introduction of products and technologies that serve as a replacement or substitute for, or represent an improvement over, our platform; technological innovations or new standards that our platform does not address;</w:t>
      </w:r>
    </w:p>
    <w:p>
      <w:pPr>
        <w:spacing w:after="0" w:line="1" w:lineRule="exact"/>
        <w:rPr>
          <w:sz w:val="20"/>
          <w:szCs w:val="20"/>
          <w:color w:val="auto"/>
        </w:rPr>
      </w:pPr>
    </w:p>
    <w:p>
      <w:pPr>
        <w:ind w:right="4620"/>
        <w:spacing w:after="0" w:line="448" w:lineRule="auto"/>
        <w:rPr>
          <w:sz w:val="20"/>
          <w:szCs w:val="20"/>
          <w:color w:val="auto"/>
        </w:rPr>
      </w:pPr>
      <w:r>
        <w:rPr>
          <w:rFonts w:ascii="Arial" w:cs="Arial" w:eastAsia="Arial" w:hAnsi="Arial"/>
          <w:sz w:val="16"/>
          <w:szCs w:val="16"/>
          <w:color w:val="auto"/>
        </w:rPr>
        <w:t>sensitivity to current or future prices offered by us or competing solutions; and our inability to release enhanced versions of our platform on a timely basis.</w:t>
      </w:r>
    </w:p>
    <w:p>
      <w:pPr>
        <w:spacing w:after="0" w:line="29" w:lineRule="exact"/>
        <w:rPr>
          <w:sz w:val="20"/>
          <w:szCs w:val="20"/>
          <w:color w:val="auto"/>
        </w:rPr>
      </w:pPr>
    </w:p>
    <w:p>
      <w:pPr>
        <w:sectPr>
          <w:pgSz w:w="11900" w:h="16838" w:orient="portrait"/>
          <w:cols w:equalWidth="0" w:num="2">
            <w:col w:w="660" w:space="460"/>
            <w:col w:w="10280"/>
          </w:cols>
          <w:pgMar w:left="240" w:top="571" w:right="259" w:bottom="1440" w:gutter="0" w:footer="0" w:header="0"/>
          <w:type w:val="continuous"/>
        </w:sectPr>
      </w:pPr>
    </w:p>
    <w:p>
      <w:pPr>
        <w:jc w:val="both"/>
        <w:ind w:firstLine="555"/>
        <w:spacing w:after="0" w:line="264" w:lineRule="auto"/>
        <w:rPr>
          <w:sz w:val="20"/>
          <w:szCs w:val="20"/>
          <w:color w:val="auto"/>
        </w:rPr>
      </w:pPr>
      <w:r>
        <w:rPr>
          <w:rFonts w:ascii="Arial" w:cs="Arial" w:eastAsia="Arial" w:hAnsi="Arial"/>
          <w:sz w:val="18"/>
          <w:szCs w:val="18"/>
          <w:color w:val="auto"/>
        </w:rPr>
        <w:t>If the market for our platform grows more slowly than anticipated or if demand for our platform does not grow as quickly as anticipated, whether as a result of competition, pricing sensitivities, product obsolescence, technological change, unfavorable economic conditions, uncertain geopolitical environment, budgetary constraints of our customers or other factors, we may not be able to grow our revenue.</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are unable to further penetrate our existing industry verticals or expand our customer base, our revenue may not grow and our operating results may be harmed.</w:t>
      </w:r>
    </w:p>
    <w:p>
      <w:pPr>
        <w:spacing w:after="0" w:line="62" w:lineRule="exact"/>
        <w:rPr>
          <w:sz w:val="20"/>
          <w:szCs w:val="20"/>
          <w:color w:val="auto"/>
        </w:rPr>
      </w:pPr>
    </w:p>
    <w:p>
      <w:pPr>
        <w:ind w:right="60" w:firstLine="555"/>
        <w:spacing w:after="0" w:line="290" w:lineRule="auto"/>
        <w:rPr>
          <w:sz w:val="20"/>
          <w:szCs w:val="20"/>
          <w:color w:val="auto"/>
        </w:rPr>
      </w:pPr>
      <w:r>
        <w:rPr>
          <w:rFonts w:ascii="Arial" w:cs="Arial" w:eastAsia="Arial" w:hAnsi="Arial"/>
          <w:sz w:val="16"/>
          <w:szCs w:val="16"/>
          <w:color w:val="auto"/>
        </w:rPr>
        <w:t>Currently, a significant majority of our revenue is derived from companies in the financial services, pharmaceuticals, insurance and healthcare industries, and from the U.S. federal government. We are investing substantial resources to expand and train our sales force to enable it to better understand these industry verticals and drive sales to customers in these industry verticals, but there can be no assurance that these investments will be successful. Further, an important part of our strategy is to expand our customer base in a wide variety of industries. We have less experience in some industries and our expansion may require us to grow our expertise in certain areas and add sales and support personnel possessing familiarity with the relevant industries. There may be competitors in these verticals that may be entrenched and difficult to dislodge. As a result of these and other factors, our efforts to expand our customer base may be expensive and may not succeed, and we therefore may be unable to grow our revenue. If we fail to further penetrate our existing industry verticals or expand our customer base, we may be unable to grow our revenue and our operating results may be harmed.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type w:val="continuous"/>
        </w:sectPr>
      </w:pPr>
    </w:p>
    <w:bookmarkStart w:id="36" w:name="page37"/>
    <w:bookmarkEnd w:id="36"/>
    <w:p>
      <w:pPr>
        <w:ind w:right="20"/>
        <w:spacing w:after="0" w:line="277" w:lineRule="auto"/>
        <w:rPr>
          <w:sz w:val="20"/>
          <w:szCs w:val="20"/>
          <w:color w:val="auto"/>
        </w:rPr>
      </w:pPr>
      <w:r>
        <w:rPr>
          <w:rFonts w:ascii="Arial" w:cs="Arial" w:eastAsia="Arial" w:hAnsi="Arial"/>
          <w:sz w:val="18"/>
          <w:szCs w:val="18"/>
          <w:b w:val="1"/>
          <w:bCs w:val="1"/>
          <w:i w:val="1"/>
          <w:iCs w:val="1"/>
          <w:color w:val="auto"/>
        </w:rPr>
        <w:t>Market adoption of low-code solutions to drive digital transformation is new and unproven and may not grow as we expect, which may harm our business and prospects.</w:t>
      </w:r>
    </w:p>
    <w:p>
      <w:pPr>
        <w:spacing w:after="0" w:line="62"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believe our future success will depend in large part on growth in the demand for low-code solutions to drive software-enabled digital transformation. We have customers in a wide variety of industries, including financial services, healthcare, government, telecommunications, media, energy, manufacturing and transportation. It is difficult to predict customer demand for our platform, renewal rates, the rate at which existing customers expand their subscriptions, the size and growth rate of the market for our platform, the entry of competitive products or the success of existing competitive products. The utilization of low-code software to drive digital transformation is still relatively new. Any expansion in our addressable market depends on a number of factors, including businesses continuing to desire to differentiate themselves through software-enabled digital transformation, increasing their reliance on low-code solutions, changes in the competitive landscape, technological changes, budgetary constraints of our customers and changes in economic conditions. If our platform does not achieve widespread adoption or there is a reduction in demand for low-code solutions caused by a lack of customer acceptance, technological challenges, competing technologies and products, decreases in corporate or IT infrastructure spending, weakening economic conditions, or other factors, it could result in reduced customer purchases, reduced renewal rates and decreased revenue, any of which will adversely affect our business, operating results and financial condition.</w:t>
      </w:r>
    </w:p>
    <w:p>
      <w:pPr>
        <w:spacing w:after="0" w:line="2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sales cycle is long and unpredictable, particularly with respect to large customers, and our sales efforts require considerable time and expense, all of which may cause our operating results to fluctuate.</w:t>
      </w:r>
    </w:p>
    <w:p>
      <w:pPr>
        <w:spacing w:after="0" w:line="62" w:lineRule="exact"/>
        <w:rPr>
          <w:sz w:val="20"/>
          <w:szCs w:val="20"/>
          <w:color w:val="auto"/>
        </w:rPr>
      </w:pPr>
    </w:p>
    <w:p>
      <w:pPr>
        <w:ind w:right="20" w:firstLine="555"/>
        <w:spacing w:after="0" w:line="268" w:lineRule="auto"/>
        <w:rPr>
          <w:sz w:val="20"/>
          <w:szCs w:val="20"/>
          <w:color w:val="auto"/>
        </w:rPr>
      </w:pPr>
      <w:r>
        <w:rPr>
          <w:rFonts w:ascii="Arial" w:cs="Arial" w:eastAsia="Arial" w:hAnsi="Arial"/>
          <w:sz w:val="17"/>
          <w:szCs w:val="17"/>
          <w:color w:val="auto"/>
        </w:rPr>
        <w:t>Our operating results may fluctuate, in part, because of the resource-intensive nature of our sales efforts, the length and variability of the sales cycle of our platform and the difficulty that we face in adjusting our short-term operating expenses. Our operating results depend in part on sales to large customers and promotion of increasing usage within those large customers. The length of our sales cycle, from initial evaluation to delivery of, and payment for, the software, varies substantially from customer to customer. Our sales cycle can extend to more than a year for certain large customers. It is difficult to predict if or when we will make a sale to a potential customer. Prospective customers, especially larger organizations, often undertake a prolonged evaluation process, which typically involves not only our platform, but also those of our competitors and can last from four to nine months or longer. We may spend substantial time, effort and money on our sales and marketing efforts without any assurance that our efforts will produce any sales. In addition, events affecting our customers’ businesses may occur during the sales cycle that could affect the size or timing of a purchase, contributing to more unpredictability in our business and operating results. As a result of these factors, we may face greater costs, longer sales cycles and less predictability in the future. In the past, certain individual sales have occurred in periods later than we expected or have not occurred at all. The loss or delay of one or more large transactions in a quarter could impact our operating results for that quarter and any future quarters in which such revenue would otherwise have been recognized. As a result of these factors, it is difficult for us to forecast our revenue accurately in any quarter, and our quarterly results may fluctuate substantially. Further, because a substantial portion of our expenses are relatively fixed in the short-term, our operating results will suffer if revenue falls below our expectations in a particular quarter.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11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markets for low-code development platforms, business process management, case management software and custom software are highly competitive, rapidly evolving and have relatively low barriers to entry. The principal competitive factors in our market include: platform features, reliability, performance and effectiveness; ease of use and speed; platform extensibility and ability to integrate with other technology infrastructures; deployment flexibility; robustness of professional services and customer support; price and total cost of ownership; strength of platform security and adherence to industry standards and certifications;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spacing w:after="0" w:line="189" w:lineRule="exact"/>
        <w:rPr>
          <w:sz w:val="20"/>
          <w:szCs w:val="20"/>
          <w:color w:val="auto"/>
        </w:rPr>
      </w:pPr>
    </w:p>
    <w:p>
      <w:pPr>
        <w:ind w:right="120" w:firstLine="555"/>
        <w:spacing w:after="0" w:line="291" w:lineRule="auto"/>
        <w:rPr>
          <w:sz w:val="20"/>
          <w:szCs w:val="20"/>
          <w:color w:val="auto"/>
        </w:rPr>
      </w:pPr>
      <w:r>
        <w:rPr>
          <w:rFonts w:ascii="Arial" w:cs="Arial" w:eastAsia="Arial" w:hAnsi="Arial"/>
          <w:sz w:val="16"/>
          <w:szCs w:val="16"/>
          <w:color w:val="auto"/>
        </w:rPr>
        <w:t>We primarily compete with low-code development platforms sold by companies such as salesforce.com, inc. and ServiceNow, Inc. We also compete with companies that provide business process management and case management software, including IBM, OpenText Corporation, Oracle Corporation, Pegasystems Inc. and SAP SE. Further, because our platform is used by our customers to create custom applications, there are software companies that offer commercial, off-the-shelf applications as well as custom software solutions that compete with us. For example, our platform is used by the Defense Information Systems Agency of the U.S. federal government, or DISA, to manage procurement processes and contract writing. Competing vendors offer software that specifically performs contract writing functionality, and we have on occasion lost competitive bids to those point solution vendors for contracts with DISA. In addition, large software and internet companies may seek to enter our primary markets.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37" w:name="page38"/>
    <w:bookmarkEnd w:id="37"/>
    <w:p>
      <w:pPr>
        <w:ind w:firstLine="555"/>
        <w:spacing w:after="0" w:line="270" w:lineRule="auto"/>
        <w:rPr>
          <w:sz w:val="20"/>
          <w:szCs w:val="20"/>
          <w:color w:val="auto"/>
        </w:rPr>
      </w:pPr>
      <w:r>
        <w:rPr>
          <w:rFonts w:ascii="Arial" w:cs="Arial" w:eastAsia="Arial" w:hAnsi="Arial"/>
          <w:sz w:val="17"/>
          <w:szCs w:val="17"/>
          <w:color w:val="auto"/>
        </w:rPr>
        <w:t>Some of our actual and potential competitors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solutions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other software offerings. As a result, customers may choose a bundled offering from our competitors, even if individual products have more limited functionality than our platform. These larger competitors are also often in a better position to withstand any significant reduction in capital spending, and will therefore not be as susceptible to economic downturns.</w:t>
      </w:r>
    </w:p>
    <w:p>
      <w:pPr>
        <w:spacing w:after="0" w:line="182"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current or potential competitors may be acquired by third parties with greater available resources.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30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If our security measures are breached or unauthorized access to our platform or customer data is otherwise obtained, our platform may be perceived as not being secure, customers may reduce the use of or stop using our platform and we may incur significant liabilities.</w:t>
      </w:r>
    </w:p>
    <w:p>
      <w:pPr>
        <w:spacing w:after="0" w:line="38"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Our platform, which can be deployed in the cloud, on-premises or using a hybrid approach, allows for the storage and transmission of our customers’ proprietary or confidential information, which may include trade secrets, personally identifiable information, personal health information and payment card information. Any actual or perceived unauthorized access to, or security breaches affecting, our platform or the information stored on or transmitted by our platform could result in the loss of information, litigation, regulatory investigations, penalties, indemnity obligations and other costs, expenses and liability, which could exceed our existing insurance coverage and could result in a substantial financial loss. While we have security measures in place designed to protect customer information and prevent data loss and other security breaches, there can be no assurance that these measures will be effective in protecting against unauthorized access to our platform or our customers’ information. Similarly, if cyber incidents, such as phishing attacks, viruses, denial of service attacks, malware installation, server malfunction, software or hardware failures, loss of data or other computer assets, adware, or other similar issues, impair the integrity or availability of our systems by affecting our data, or reducing access to or shutting down one or more of our computing systems or our IT network, we may be subject to negative treatment by our customers, our business partners, the press, and the public at large. Further, because the techniques used to obtain unauthorized access or sabotage systems change frequently and generally are not identified until they are launched against a target, we may be unable to anticipate these techniques or to implement adequate preventative measures. Additionally, we may be subject to attacks on our networks or systems or attempts to gain unauthorized access to our proprietary or confidential information or other data we or our vendors maintain, such as data about our employees. Such attacks and other breaches of security may occur as a result of malicious attacks, human error, social engineering, or other causes. Any actual or perceived breach of our security measures or failure to adequately protect our customers’ or our confidential or proprietary information could negatively affect our ability to attract new customers, cause existing customers to elect to not renew their subscriptions to our software or result in reputational damage, any of which could adversely affect our operating results.</w:t>
      </w:r>
    </w:p>
    <w:p>
      <w:pPr>
        <w:spacing w:after="0" w:line="175"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Further, security compromises experienced by our customers with respect to data hosted on our platform, even if caused by the customer’s own misuse or negligence, may lead to public disclosures, which could harm our reputation, erode customer confidence in the effectiveness of our security measures, negatively impact our ability to attract new customers, or cause existing customers to elect not to renew their subscriptions with us. We may be subjected to indemnity demands, regulatory proceedings, audits, penalties or litigation based on our customers’ misuse of our platform with respect to such sensitive information, and defending against such litigation and otherwise addressing such matters may be expensive, cause distraction, and may result in us incurring liability, all of which may affect our operating results.</w:t>
      </w:r>
    </w:p>
    <w:p>
      <w:pPr>
        <w:spacing w:after="0" w:line="178"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data or that such coverage will continue to be available on acceptable terms or at all.</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38" w:name="page39"/>
    <w:bookmarkEnd w:id="38"/>
    <w:p>
      <w:pPr>
        <w:ind w:right="440"/>
        <w:spacing w:after="0" w:line="277" w:lineRule="auto"/>
        <w:rPr>
          <w:sz w:val="20"/>
          <w:szCs w:val="20"/>
          <w:color w:val="auto"/>
        </w:rPr>
      </w:pPr>
      <w:r>
        <w:rPr>
          <w:rFonts w:ascii="Arial" w:cs="Arial" w:eastAsia="Arial" w:hAnsi="Arial"/>
          <w:sz w:val="18"/>
          <w:szCs w:val="18"/>
          <w:b w:val="1"/>
          <w:bCs w:val="1"/>
          <w:i w:val="1"/>
          <w:iCs w:val="1"/>
          <w:color w:val="auto"/>
        </w:rPr>
        <w:t>We previously identified a material weakness in our internal control over financial reporting, and if we are unable to achieve and maintain effective internal control over financial reporting, this could have a material adverse effect on our business.</w:t>
      </w:r>
    </w:p>
    <w:p>
      <w:pPr>
        <w:spacing w:after="0" w:line="62" w:lineRule="exact"/>
        <w:rPr>
          <w:sz w:val="20"/>
          <w:szCs w:val="20"/>
          <w:color w:val="auto"/>
        </w:rPr>
      </w:pPr>
    </w:p>
    <w:p>
      <w:pPr>
        <w:ind w:right="80" w:firstLine="555"/>
        <w:spacing w:after="0" w:line="253" w:lineRule="auto"/>
        <w:rPr>
          <w:sz w:val="20"/>
          <w:szCs w:val="20"/>
          <w:color w:val="auto"/>
        </w:rPr>
      </w:pPr>
      <w:r>
        <w:rPr>
          <w:rFonts w:ascii="Arial" w:cs="Arial" w:eastAsia="Arial" w:hAnsi="Arial"/>
          <w:sz w:val="18"/>
          <w:szCs w:val="18"/>
          <w:color w:val="auto"/>
        </w:rPr>
        <w:t>We produce our consolidated financial statements in accordance with the requirements of U.S. GAAP. Effective internal controls are necessary for us to provide reliable financial reports to help mitigate the risk of fraud and to operate as a publicly traded company. Prior to our initial public offering, or IPO, we were a private company with limited accounting personnel and other resources with which to address our internal controls and procedures. Our independent registered public accounting firm identified a material weakness and a significant deficiency in our internal controls over financial reporting in connection with the audit of our financial statements for the year ended December 31, 2015.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w:t>
      </w:r>
    </w:p>
    <w:p>
      <w:pPr>
        <w:spacing w:after="0" w:line="197"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The material weakness that our independent registered public accounting firm identified related to our revenue recognition related to certain multiple element arrangements in which the controls over the review of transactions that included fixed fee professional services sold with term or perpetual license agreements failed to ensure the resulting revenue recognition was consistent with applicable guidance. This material weakness resulted in the restatement of our 2013 and 2014 financial statements, with approximately $2.4 million in revenue previously recognized in 2013 being deferred until 2014 and beyond and $1.9 million in revenue previously recognized in 2014 being deferred until 2015 and beyond. In addition, the significant deficiency involved lack of oversight to system administrative rights granted to non-IT personnel to our financial reporting systems. We have taken steps to remediate the material weakness and significant deficiency, including hiring additional accounting staff members that are proficient in revenue recognition accounting, including a manager of revenue recognition and an assistant controller, consulting with outside professional accountants on revenue recognition issues, adding internal controls related to revenue recognition and limiting administrative access rights to our financial reporting systems. We believe that as of December 31, 2016, this previous material weakness and significant deficiency were fully remediated. In connection with the audit of our 2016 financial statements, no material weaknesses were identified in our internal control over financial reporting, although one significant deficiency was identified relating to personnel access rights to key accounting spreadsheets.</w:t>
      </w:r>
    </w:p>
    <w:p>
      <w:pPr>
        <w:spacing w:after="0" w:line="180"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As a public company, we will be required to further design, document and test our internal controls over financial reporting to comply with Sarbanes-Oxley Act Section 404. We cannot be certain that additional material weaknesses and control deficiencies will not be discovered in the future. If material weaknesses or control deficiencies occur in the future, we may be unable to report our financial results accurately on a timely basis or help prevent fraud, which could cause our reported financial results to be materially misstated and result in the loss of investor confidence or delisting and cause the market price of our Class A common stock to decline. If we have material weaknesses in the future, it could affect the financial results that we report or create a perception that those financial results do not fairly state our financial position or results of operations. Either of those events could have an adverse effect on the value of our Class A common stock.</w:t>
      </w:r>
    </w:p>
    <w:p>
      <w:pPr>
        <w:spacing w:after="0" w:line="189"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Further, even if we conclude that our internal control over financial reporting provides reasonable assurance regarding the reliability of financial reporting and the preparation of financial statements for external purposes in accordance with U.S. GAAP,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future reporting obligations.</w:t>
      </w:r>
    </w:p>
    <w:p>
      <w:pPr>
        <w:spacing w:after="0" w:line="28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derive a material portion of our revenue from a limited number of customers, and the loss of one or more of these customers could adversely impact our business, results of operations and financial condition.</w:t>
      </w:r>
    </w:p>
    <w:p>
      <w:pPr>
        <w:spacing w:after="0" w:line="62" w:lineRule="exact"/>
        <w:rPr>
          <w:sz w:val="20"/>
          <w:szCs w:val="20"/>
          <w:color w:val="auto"/>
        </w:rPr>
      </w:pPr>
    </w:p>
    <w:p>
      <w:pPr>
        <w:ind w:right="60" w:firstLine="555"/>
        <w:spacing w:after="0" w:line="293" w:lineRule="auto"/>
        <w:rPr>
          <w:sz w:val="20"/>
          <w:szCs w:val="20"/>
          <w:color w:val="auto"/>
        </w:rPr>
      </w:pPr>
      <w:r>
        <w:rPr>
          <w:rFonts w:ascii="Arial" w:cs="Arial" w:eastAsia="Arial" w:hAnsi="Arial"/>
          <w:sz w:val="16"/>
          <w:szCs w:val="16"/>
          <w:color w:val="auto"/>
        </w:rPr>
        <w:t>Our customer base is concentrated. For example, during the years ended December 31, 2014, 2015 and 2016, revenue from U.S. federal government agencies represented 34%, 33% and 26% of our total revenue, respectively, and the top three U.S. federal government customers generated 23%, 21% and 18% of our total revenue for the years ended December 31, 2014, 2015 and 2016, respectively. Further, nearly 10% of our subscription customers spent more than $1 million on our software in 2016. If we were to lose one or more of our significant customers, our revenue may significantly decline. In addition, revenue from significant customers may vary from period to period depending on the timing of renewing existing agreements or entering into new agreements. The loss of one or more of our significant customers could adversely affect our business, results of operations and financial condition.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79" w:right="259" w:bottom="1440" w:gutter="0" w:footer="0" w:header="0"/>
        </w:sectPr>
      </w:pPr>
    </w:p>
    <w:bookmarkStart w:id="39" w:name="page40"/>
    <w:bookmarkEnd w:id="39"/>
    <w:p>
      <w:pPr>
        <w:ind w:right="120" w:firstLine="555"/>
        <w:spacing w:after="0" w:line="259" w:lineRule="auto"/>
        <w:rPr>
          <w:sz w:val="20"/>
          <w:szCs w:val="20"/>
          <w:color w:val="auto"/>
        </w:rPr>
      </w:pPr>
      <w:r>
        <w:rPr>
          <w:rFonts w:ascii="Arial" w:cs="Arial" w:eastAsia="Arial" w:hAnsi="Arial"/>
          <w:sz w:val="18"/>
          <w:szCs w:val="18"/>
          <w:color w:val="auto"/>
        </w:rPr>
        <w:t>In addition, due to our dependence on a limited number of customers, we face a concentration of credit risk. As of December 31, 2016, one customer accounted for 17.2% of our accounts receivable. In the case of insolvency by one of our significant customers, accounts receivable with respect to that customer might not be collectible, might not be fully collectible, or might be collectible over longer than normal terms, each of which could adversely affect our financial condition.</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 portion of our revenue is generated from subscriptions sold to governmental entities and heavily regulated organizations, which are subject to a number of challenges and risks.</w:t>
      </w:r>
    </w:p>
    <w:p>
      <w:pPr>
        <w:spacing w:after="0" w:line="62"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color w:val="auto"/>
        </w:rPr>
        <w:t>A significant portion of our revenue is generated from subscriptions sold to governmental entities, both in the United States and internationally. Additionally, many of our current and prospective customers, such as those in the financial services, pharmaceuticals, insurance and healthcare industries, are highly regulated and may be required to comply with more stringent regulations in connection with subscribing to and implementing our platform. Selling subscriptions to these entities can be highly competitive, expensive and time-consuming, often requiring significant upfront time and expense without any assurance that we will successfully complete a sale. Governmental demand and payment for our platform may also be impacted by public sector budgetary cycles and funding authorizations, with funding reductions or delays adversely affecting public sector demand for our platform.</w:t>
      </w:r>
    </w:p>
    <w:p>
      <w:pPr>
        <w:spacing w:after="0" w:line="165" w:lineRule="exact"/>
        <w:rPr>
          <w:sz w:val="20"/>
          <w:szCs w:val="20"/>
          <w:color w:val="auto"/>
        </w:rPr>
      </w:pPr>
    </w:p>
    <w:p>
      <w:pPr>
        <w:ind w:right="40" w:firstLine="555"/>
        <w:spacing w:after="0" w:line="287" w:lineRule="auto"/>
        <w:rPr>
          <w:sz w:val="20"/>
          <w:szCs w:val="20"/>
          <w:color w:val="auto"/>
        </w:rPr>
      </w:pPr>
      <w:r>
        <w:rPr>
          <w:rFonts w:ascii="Arial" w:cs="Arial" w:eastAsia="Arial" w:hAnsi="Arial"/>
          <w:sz w:val="16"/>
          <w:szCs w:val="16"/>
          <w:color w:val="auto"/>
        </w:rPr>
        <w:t>Further, governmental and highly regulated entities often require contract terms that differ from our standard arrangements, including terms that can lead to those customers obtaining broader rights in our products than would be standard. Governmental and highly regulated entities, including the General Services Administration, whose schedule accounts for many of our U.S. federal government contracts, impose compliance requirements that are complicated, require preferential pricing or “most favored nation” terms and conditions or are otherwise time-consuming and expensive to satisfy. In the United States, applicable federal contracting regulations change frequently, and the President may issue executive orders requiring federal contractors to adhere to new compliance requirements after a contract is signed. If we undertake to meet special standards or requirements and do not meet them, we could be subject to significant liability from our customers or regulators. Even if we do meet these special standards or requirements, the additional costs associated with providing our platform to government and highly regulated customers could harm our operating results. Moreover, changes in the underlying statutory and regulatory conditions that affect these types of customers could harm our ability to efficiently provide them access to our platform and to grow or maintain our customer base. In addition, engaging in sales activities to foreign governments introduces additional compliance risks specific to the Foreign Corrupt Practices Act, the U.K. Bribery Act and other similar statutory requirements prohibiting bribery and corruption in the jurisdictions in which we operate.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losses in the past, and we may not achieve or sustain profitability in the future.</w:t>
      </w:r>
    </w:p>
    <w:p>
      <w:pPr>
        <w:spacing w:after="0" w:line="117"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We generated net losses of $17.1 million, $7.0 million and $12.5 million in 2014, 2015 and 2016, respectively, and a net loss of $17.9 million in the six months ended June 30, 2017. As of June 30, 2017, we had an accumulated deficit of $83.0 million. We will need to generate and sustain increased revenue levels in future periods in order to achieve or sustain profitability in the future. We also expect our costs to increase in future periods, which could negatively affect our future operating results if our revenue does not increase commensurately. For example, we intend to continue to expend significant funds to expand our sales and marketing operations, develop and enhance our platform, meet the increased compliance requirements associated with our transition to and operation as a public company,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Quarterly Report on Form 10-Q, and unforeseen expenses, difficulties, complications and delays and other unknown events. If we are unable to achieve and sustain profitability, our stock price may significantly decrease.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quarterly results of operations may fluctuate significantly due to a wide range of factors, which makes our future results difficult to predict.</w:t>
      </w:r>
    </w:p>
    <w:p>
      <w:pPr>
        <w:spacing w:after="0" w:line="140"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ectPr>
          <w:pgSz w:w="11900" w:h="16838" w:orient="portrait"/>
          <w:cols w:equalWidth="0" w:num="1">
            <w:col w:w="11400"/>
          </w:cols>
          <w:pgMar w:left="240" w:top="571" w:right="259" w:bottom="1440" w:gutter="0" w:footer="0" w:header="0"/>
        </w:sectPr>
      </w:pP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level of demand for our platform and our professional services;</w:t>
      </w:r>
    </w:p>
    <w:p>
      <w:pPr>
        <w:spacing w:after="0" w:line="90" w:lineRule="exact"/>
        <w:rPr>
          <w:sz w:val="20"/>
          <w:szCs w:val="20"/>
          <w:color w:val="auto"/>
        </w:rPr>
      </w:pPr>
    </w:p>
    <w:p>
      <w:pPr>
        <w:ind w:right="2340"/>
        <w:spacing w:after="0" w:line="344" w:lineRule="auto"/>
        <w:rPr>
          <w:sz w:val="20"/>
          <w:szCs w:val="20"/>
          <w:color w:val="auto"/>
        </w:rPr>
      </w:pPr>
      <w:r>
        <w:rPr>
          <w:rFonts w:ascii="Arial" w:cs="Arial" w:eastAsia="Arial" w:hAnsi="Arial"/>
          <w:sz w:val="18"/>
          <w:szCs w:val="18"/>
          <w:color w:val="auto"/>
        </w:rPr>
        <w:t>the rate of renewal of subscriptions with, and extent of sales of additional subscriptions to, existing customers; large customers failing to renew their subscriptions;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size, timing and terms of our subscription agreements with existing and new customers;</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660" w:space="460"/>
            <w:col w:w="10280"/>
          </w:cols>
          <w:pgMar w:left="240" w:top="571" w:right="259" w:bottom="1440" w:gutter="0" w:footer="0" w:header="0"/>
          <w:type w:val="continuous"/>
        </w:sectPr>
      </w:pPr>
    </w:p>
    <w:bookmarkStart w:id="40" w:name="page41"/>
    <w:bookmarkEnd w:id="40"/>
    <w:p>
      <w:pPr>
        <w:ind w:left="560"/>
        <w:spacing w:after="0"/>
        <w:rPr>
          <w:sz w:val="20"/>
          <w:szCs w:val="20"/>
          <w:color w:val="auto"/>
        </w:rPr>
      </w:pPr>
      <w:r>
        <w:rPr>
          <w:rFonts w:ascii="Arial" w:cs="Arial" w:eastAsia="Arial" w:hAnsi="Arial"/>
          <w:sz w:val="27"/>
          <w:szCs w:val="27"/>
          <w:color w:val="auto"/>
        </w:rPr>
        <w:t>•</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62"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62" w:lineRule="exact"/>
        <w:rPr>
          <w:sz w:val="20"/>
          <w:szCs w:val="20"/>
          <w:color w:val="auto"/>
        </w:rPr>
      </w:pPr>
    </w:p>
    <w:p>
      <w:pPr>
        <w:ind w:right="3660"/>
        <w:spacing w:after="0" w:line="344" w:lineRule="auto"/>
        <w:rPr>
          <w:sz w:val="20"/>
          <w:szCs w:val="20"/>
          <w:color w:val="auto"/>
        </w:rPr>
      </w:pPr>
      <w:r>
        <w:rPr>
          <w:rFonts w:ascii="Arial" w:cs="Arial" w:eastAsia="Arial" w:hAnsi="Arial"/>
          <w:sz w:val="18"/>
          <w:szCs w:val="18"/>
          <w:color w:val="auto"/>
        </w:rPr>
        <w:t>network outages, security breaches, technical difficulties or interruptions with our platform; changes in the growth rate of the markets in which we compete;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mix of subscriptions to our platform and professional services sold during a period;</w:t>
      </w:r>
    </w:p>
    <w:p>
      <w:pPr>
        <w:spacing w:after="0" w:line="90" w:lineRule="exact"/>
        <w:rPr>
          <w:sz w:val="20"/>
          <w:szCs w:val="20"/>
          <w:color w:val="auto"/>
        </w:rPr>
      </w:pPr>
    </w:p>
    <w:p>
      <w:pPr>
        <w:ind w:right="600"/>
        <w:spacing w:after="0" w:line="344" w:lineRule="auto"/>
        <w:rPr>
          <w:sz w:val="20"/>
          <w:szCs w:val="20"/>
          <w:color w:val="auto"/>
        </w:rPr>
      </w:pPr>
      <w:r>
        <w:rPr>
          <w:rFonts w:ascii="Arial" w:cs="Arial" w:eastAsia="Arial" w:hAnsi="Arial"/>
          <w:sz w:val="18"/>
          <w:szCs w:val="18"/>
          <w:color w:val="auto"/>
        </w:rPr>
        <w:t>customers delaying purchasing decisions in anticipation of new developments or enhancements by us or our competitors or otherwise; changes in customers’ budgets;</w:t>
      </w:r>
    </w:p>
    <w:p>
      <w:pPr>
        <w:spacing w:after="0" w:line="1" w:lineRule="exact"/>
        <w:rPr>
          <w:sz w:val="20"/>
          <w:szCs w:val="20"/>
          <w:color w:val="auto"/>
        </w:rPr>
      </w:pPr>
    </w:p>
    <w:p>
      <w:pPr>
        <w:ind w:right="2160"/>
        <w:spacing w:after="0" w:line="344" w:lineRule="auto"/>
        <w:rPr>
          <w:sz w:val="20"/>
          <w:szCs w:val="20"/>
          <w:color w:val="auto"/>
        </w:rPr>
      </w:pPr>
      <w:r>
        <w:rPr>
          <w:rFonts w:ascii="Arial" w:cs="Arial" w:eastAsia="Arial" w:hAnsi="Arial"/>
          <w:sz w:val="18"/>
          <w:szCs w:val="18"/>
          <w:color w:val="auto"/>
        </w:rPr>
        <w:t>seasonal variations related to sales and marketing and other activities, such as expenses related to our customers; our ability to increase, retain and incentivize the strategic partners that market and sell our platform; our ability to control costs, including our operating expenses;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hire, train and maintain our direct sales force;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unforeseen litigation and intellectual property infringement;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our effective tax rate; and</w:t>
      </w:r>
    </w:p>
    <w:p>
      <w:pPr>
        <w:spacing w:after="0" w:line="9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83" w:lineRule="exact"/>
        <w:rPr>
          <w:sz w:val="20"/>
          <w:szCs w:val="20"/>
          <w:color w:val="auto"/>
        </w:rPr>
      </w:pPr>
    </w:p>
    <w:p>
      <w:pPr>
        <w:sectPr>
          <w:pgSz w:w="11900" w:h="16838" w:orient="portrait"/>
          <w:cols w:equalWidth="0" w:num="2">
            <w:col w:w="660" w:space="460"/>
            <w:col w:w="10260"/>
          </w:cols>
          <w:pgMar w:left="240" w:top="402" w:right="279" w:bottom="1440" w:gutter="0" w:footer="0" w:header="0"/>
        </w:sectPr>
      </w:pPr>
    </w:p>
    <w:p>
      <w:pPr>
        <w:ind w:firstLine="555"/>
        <w:spacing w:after="0" w:line="259"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187" w:lineRule="exact"/>
        <w:rPr>
          <w:sz w:val="20"/>
          <w:szCs w:val="20"/>
          <w:color w:val="auto"/>
        </w:rPr>
      </w:pPr>
    </w:p>
    <w:p>
      <w:pPr>
        <w:ind w:right="80" w:firstLine="555"/>
        <w:spacing w:after="0" w:line="291" w:lineRule="auto"/>
        <w:rPr>
          <w:sz w:val="20"/>
          <w:szCs w:val="20"/>
          <w:color w:val="auto"/>
        </w:rPr>
      </w:pPr>
      <w:r>
        <w:rPr>
          <w:rFonts w:ascii="Arial" w:cs="Arial" w:eastAsia="Arial" w:hAnsi="Arial"/>
          <w:sz w:val="16"/>
          <w:szCs w:val="16"/>
          <w:color w:val="auto"/>
        </w:rPr>
        <w:t>In addition, we have historically experienced seasonality in terms of when we enter into agreements with customers. We typically enter into a significantly higher percentage of agreements with new customers, as well as renewal agreements with existing customers, in the fourth quarter and, to a lesser extent, the second quarter. The increase in customer agreements for the fourth quarter is attributable to large enterprise account buying patterns typical in the software industry. Furthermore, we usually enter into a significant portion of agreements with customers during the last month, and often the last two weeks, of each quarter. This seasonality is reflected to a much lesser extent, and sometimes is not immediately apparent, in revenue, due to the fact that we recognize subscription revenue over the term of the subscription agreement, which is generally one to five years. We expect that seasonality will continue to affect our operating results in the future and may reduce our ability to predict cash flow and optimize the timing of our operating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to shift our revenue towards subscriptions and away from professional services.</w:t>
      </w:r>
    </w:p>
    <w:p>
      <w:pPr>
        <w:spacing w:after="0" w:line="117" w:lineRule="exact"/>
        <w:rPr>
          <w:sz w:val="20"/>
          <w:szCs w:val="20"/>
          <w:color w:val="auto"/>
        </w:rPr>
      </w:pPr>
    </w:p>
    <w:p>
      <w:pPr>
        <w:ind w:right="180" w:firstLine="555"/>
        <w:spacing w:after="0" w:line="279" w:lineRule="auto"/>
        <w:rPr>
          <w:sz w:val="20"/>
          <w:szCs w:val="20"/>
          <w:color w:val="auto"/>
        </w:rPr>
      </w:pPr>
      <w:r>
        <w:rPr>
          <w:rFonts w:ascii="Arial" w:cs="Arial" w:eastAsia="Arial" w:hAnsi="Arial"/>
          <w:sz w:val="17"/>
          <w:szCs w:val="17"/>
          <w:color w:val="auto"/>
        </w:rPr>
        <w:t>Currently, our revenue is nearly evenly divided between subscriptions and professional services revenue. Since 2014, the proportion of our revenue attributable to subscriptions has increased as a proportion of our total revenue. That shift in revenue towards subscriptions has resulted in an increase of our overall gross profit, because our marginal costs in delivering our subscriptions are lower than the marginal costs of delivering professional services. Our strategic focus has been to grow subscriptions revenue faster than professional services revenue to perpetuate this trend.</w:t>
      </w:r>
    </w:p>
    <w:p>
      <w:pPr>
        <w:spacing w:after="0" w:line="171" w:lineRule="exact"/>
        <w:rPr>
          <w:sz w:val="20"/>
          <w:szCs w:val="20"/>
          <w:color w:val="auto"/>
        </w:rPr>
      </w:pPr>
    </w:p>
    <w:p>
      <w:pPr>
        <w:ind w:right="160" w:firstLine="555"/>
        <w:spacing w:after="0" w:line="286" w:lineRule="auto"/>
        <w:rPr>
          <w:sz w:val="20"/>
          <w:szCs w:val="20"/>
          <w:color w:val="auto"/>
        </w:rPr>
      </w:pPr>
      <w:r>
        <w:rPr>
          <w:rFonts w:ascii="Arial" w:cs="Arial" w:eastAsia="Arial" w:hAnsi="Arial"/>
          <w:sz w:val="17"/>
          <w:szCs w:val="17"/>
          <w:color w:val="auto"/>
        </w:rPr>
        <w:t>There can be no guarantee that our revenue will continue to shift towards subscriptions and away from professional services. Our customers may demand more professional services from us, or demand for our subscriptions may grow slower than demand for our professional services. Should we fail to continue to shift our revenue towards subscriptions our earnings may suffer and our stock price may decline.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type w:val="continuous"/>
        </w:sectPr>
      </w:pPr>
    </w:p>
    <w:bookmarkStart w:id="41" w:name="page42"/>
    <w:bookmarkEnd w:id="41"/>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a platform that is useful to our customers, we may not remain competitive, and our revenue and operating results could suffer.</w:t>
      </w:r>
    </w:p>
    <w:p>
      <w:pPr>
        <w:spacing w:after="0" w:line="62"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Our success depends on continued innovation to provide features that make our platform useful for our customers. We must continue to invest significant resources in research and development in order to continually improve the simplicity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customers, we may be unable to attract additional customers or retain our current customers, which may adversely affect our business, operating results and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reduce or change our pricing model to remain competitive.</w:t>
      </w:r>
    </w:p>
    <w:p>
      <w:pPr>
        <w:spacing w:after="0" w:line="117"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We generally sell our software on a per-user basis.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Defects or disruptions in the rollout of our platform updates or enhancements could diminish demand for our platform, adversely affect our reputation and subject us to substantial liability.</w:t>
      </w:r>
    </w:p>
    <w:p>
      <w:pPr>
        <w:spacing w:after="0" w:line="62"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Like many software companies, we provide frequent incremental releases of software updates and functional enhancements to our platform. Despite extensive pre-release testing, such new versions occasionally contain undetected errors when first introduced or released. We have, from time to time, found errors in our software, and new errors in our existing software may be detected in the future. Since our customers use our software for important aspects of their business, any errors, defects, disruptions in our platform or other performance problems with our solution could hurt our reputation and may damage our customers’ businesses. If that occurs, our customers may delay or withhold payment to us, elect not to renew, make service credit claims, warranty claims or other claims against us, and we could lose future sales. The occurrence of any of these events could result in an increase in our bad debt expense, an increase in collection cycles for accounts receivable, decreased future revenue and earnings, require us to increase our warranty provisions or incur the risk or expense of litigation.</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estimates and assumptions we have used to calculate the size of our target market are inaccurate, our future growth rate may be limited.</w:t>
      </w:r>
    </w:p>
    <w:p>
      <w:pPr>
        <w:spacing w:after="0" w:line="140"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We have estimated the size and potential growth of our target market based on data published by third parties and on internally generated data and assumptions. We have not independently verified any third-party information and cannot assure you of its accuracy or completeness. While we believe our market size and growth information is generally reliable, such information is inherently imprecise. In addition, our projections, assumptions and estimates of future opportunities within our target market are necessarily subject to a high degree of uncertainty and risk due to a variety of factors, including those described in this Quarterly Report on Form 10-Q. If third-party or internally generated data prove to be inaccurate or we make errors in our assumptions based on that data, our future growth rate may be limited. In addition, these inaccuracies or errors may cause us to misallocate capital and other business resources, which could harm our business.</w:t>
      </w:r>
    </w:p>
    <w:p>
      <w:pPr>
        <w:spacing w:after="0" w:line="189"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color w:val="auto"/>
        </w:rPr>
        <w:t>Even if our target market meets our size estimates and experiences the forecasted growth, we may not grow our business at similar rates, or at all. Our growth is subject to many factors, including our success in implementing our business strategy, which is subject to many risks and uncertainties. Accordingly, the forecasts of market growth included in this Quarterly Report on Form 10-Q should not be taken as indicative of our future growth.</w:t>
      </w:r>
    </w:p>
    <w:p>
      <w:pPr>
        <w:spacing w:after="0" w:line="25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b w:val="1"/>
          <w:bCs w:val="1"/>
          <w:i w:val="1"/>
          <w:iCs w:val="1"/>
          <w:color w:val="auto"/>
        </w:rPr>
        <w:t>If governments or their agencies reduce their demand for our platform, our business may suffer. Moreover, if we fail to comply with government contracting regulations, we could suffer a loss of revenue or incur price adjustments or other penalties.</w:t>
      </w:r>
    </w:p>
    <w:p>
      <w:pPr>
        <w:spacing w:after="0" w:line="38"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Changes in governmental budget priorities could adversely affect our business. U.S. and foreign government agencies have purchased our platform directly from us and products from our customers. When the government changes budget priorities, such as in times of war or financial crisis or as a result of election cycles, our subscription sales to government agencies and government-funded customers are at risk. Demand and payment for our subscriptions and our customers’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2" w:name="page43"/>
    <w:bookmarkEnd w:id="42"/>
    <w:p>
      <w:pPr>
        <w:ind w:right="60"/>
        <w:spacing w:after="0" w:line="279" w:lineRule="auto"/>
        <w:rPr>
          <w:sz w:val="20"/>
          <w:szCs w:val="20"/>
          <w:color w:val="auto"/>
        </w:rPr>
      </w:pPr>
      <w:r>
        <w:rPr>
          <w:rFonts w:ascii="Arial" w:cs="Arial" w:eastAsia="Arial" w:hAnsi="Arial"/>
          <w:sz w:val="17"/>
          <w:szCs w:val="17"/>
          <w:color w:val="auto"/>
        </w:rPr>
        <w:t>products may be affected by public sector budgetary cycles or funding authorizations. Funding reductions or delays could negatively impact demand for our platform. If government funding is discontinued or significantly reduced, our business could be materially adversely affected. For example, one of our largest customers is a government agency responsible for implementing a portion of the Affordable Care Act, or ACA. If funding for ACA implementation is curtailed or terminated, the agency may not renew its annual subscription with us, which could adversely affect our operating results.</w:t>
      </w:r>
    </w:p>
    <w:p>
      <w:pPr>
        <w:spacing w:after="0" w:line="171" w:lineRule="exact"/>
        <w:rPr>
          <w:sz w:val="20"/>
          <w:szCs w:val="20"/>
          <w:color w:val="auto"/>
        </w:rPr>
      </w:pPr>
    </w:p>
    <w:p>
      <w:pPr>
        <w:ind w:right="200" w:firstLine="555"/>
        <w:spacing w:after="0" w:line="272" w:lineRule="auto"/>
        <w:rPr>
          <w:sz w:val="20"/>
          <w:szCs w:val="20"/>
          <w:color w:val="auto"/>
        </w:rPr>
      </w:pPr>
      <w:r>
        <w:rPr>
          <w:rFonts w:ascii="Arial" w:cs="Arial" w:eastAsia="Arial" w:hAnsi="Arial"/>
          <w:sz w:val="17"/>
          <w:szCs w:val="17"/>
          <w:color w:val="auto"/>
        </w:rPr>
        <w:t>Some of our revenue is derived from contracts with agencies of the U.S. government and subcontracts with its prime contractors. As a result, we are subject to federal contracting regulations, including the Federal Acquisition Regulation, or the FAR, system. The FAR system governs, among other things, U.S. government contract pricing, including determination of the costs incurred by us in the performance of our U.S. government contracts. Under the FAR system, certain contract pricing is based on estimated direct and indirect costs, which are subject to change. Additionally, under the FAR system, the U.S. government is entitled, for years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178"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In connection with our U.S. government contracts, we are also subject to government audits and review and approval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contracts for a specified period of time. Any such termination, adjustment, sanction, debarment or suspension could have an adverse effect on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if our customers are not satisfied with the deployment services provided by us or our partners.</w:t>
      </w:r>
    </w:p>
    <w:p>
      <w:pPr>
        <w:spacing w:after="0" w:line="129"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The success of our business depends on our customers’ satisfaction with our platform, the support that we provide for our platform and the professional services that we provide to help our customers deploy our platform. Professional services may be performed by our own staff, by a third party or by a combination of the two. Our strategy is to work with third parties to increase the breadth, capability and depth of capacity for delivery of these services to our customers, and third parties provide a significant portion of our deployment services. If a customer is not satisfied with the quality of work performed by us or a third party or with the type of applications delivered, we could incur additional costs to address the deficiency, which would diminish the profitability of the customer relationship. Further, a customer’s dissatisfaction with our services could impair our ability to expand the number of licenses to our software purchased by that customer or adversely affect the customer’s renewal of existing licenses. In addition, negative publicity related to our customer relationships, regardless of accuracy, may further damage our business by affecting our ability to compete for new business with actual and prospective customers.</w:t>
      </w: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customers do not expand their use of our platform beyond initial use cases and applications, our ability to grow our business and our operating results may be adversely affected.</w:t>
      </w:r>
    </w:p>
    <w:p>
      <w:pPr>
        <w:spacing w:after="0" w:line="62"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Our ability to grow our business depends, in part, on our ability to persuade existing customers to expand their use of our platform to additional use cases and additional applications, and to purchase additional software licenses to our platform. Our goal is for customer satisfaction with initial applications developed on our platform to drive increased sales of licenses to our platform. However, if customers are not satisfied with their initial experience using our platform, they may choose not to renew licenses upon expiration or purchase additional software licenses, which would adversely affect our operating results.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i w:val="1"/>
          <w:iCs w:val="1"/>
          <w:color w:val="auto"/>
        </w:rPr>
        <w:t>We are substantially dependent upon customer renewals, the addition of new customers and the continued growth of our subscription revenue.</w:t>
      </w:r>
    </w:p>
    <w:p>
      <w:pPr>
        <w:spacing w:after="0" w:line="140"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We derive, and expect to increasingly derive in the future, a substantial portion of our revenue from the sale of software subscriptions. For 2014, 2015, 2016 and the six months ended June 30, 2017, approximately 42%, 48%, 53% and 53%, respectively, of our total revenue was subscriptions, software and support revenue. The market for our platform is still evolving, and competitive dynamics may cause pricing levels to change as the market matures and as existing and new market participants introduce new types of solutions and different approaches to enable customers to address their needs. As a result, we may be forced to reduce the prices we charge for software and may be required to offer terms less favorable to us for new and renewing agreements.</w:t>
      </w:r>
    </w:p>
    <w:p>
      <w:pPr>
        <w:spacing w:after="0" w:line="158"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In order for us to improve our operating results, it is important that our customers renew their subscriptions with us when their initial term expires, as well as purchase additional subscriptions from us. In general, our customers have no renewal obligation after their initial term expires, and we cannot assure you that we will be able to renew subscriptions with any of our customers at the same or higher contract value.</w:t>
      </w:r>
    </w:p>
    <w:p>
      <w:pPr>
        <w:spacing w:after="0" w:line="18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Further, while we offer access to our platform primarily through multi-year subscription agreements, some agreements may have shorter durations. Additionally, some of our contracts limit the amount we can increase prices from period to period, or include pricing guarantees. If our customers do not renew their agreements, terminate their agreements, renew their agreements on terms less favorable to us or fail to purchase additional software subscriptions, our revenue may decline and our operating results would likely be harmed as a result.</w:t>
      </w:r>
    </w:p>
    <w:p>
      <w:pPr>
        <w:spacing w:after="0" w:line="295"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believe our success has depended, and continues to depend, on the efforts and talents of our senior management team, particularly Matthew Calkins, our founder and Chief Executive Officer, and our highly skilled team members, including our sales personnel, professional services personnel and software engineers. We do not maintain key man insurance on any of our executive officers or key employees other than Mr. Calkins.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particularly Mr. Calkins,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179" w:lineRule="exact"/>
        <w:rPr>
          <w:sz w:val="20"/>
          <w:szCs w:val="20"/>
          <w:color w:val="auto"/>
        </w:rPr>
      </w:pPr>
    </w:p>
    <w:p>
      <w:pPr>
        <w:ind w:right="20" w:firstLine="555"/>
        <w:spacing w:after="0" w:line="276" w:lineRule="auto"/>
        <w:rPr>
          <w:sz w:val="20"/>
          <w:szCs w:val="20"/>
          <w:color w:val="auto"/>
        </w:rPr>
      </w:pPr>
      <w:r>
        <w:rPr>
          <w:rFonts w:ascii="Arial" w:cs="Arial" w:eastAsia="Arial" w:hAnsi="Arial"/>
          <w:sz w:val="17"/>
          <w:szCs w:val="17"/>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solution.</w:t>
      </w:r>
    </w:p>
    <w:p>
      <w:pPr>
        <w:spacing w:after="0" w:line="62" w:lineRule="exact"/>
        <w:rPr>
          <w:sz w:val="20"/>
          <w:szCs w:val="20"/>
          <w:color w:val="auto"/>
        </w:rPr>
      </w:pPr>
    </w:p>
    <w:p>
      <w:pPr>
        <w:ind w:right="200" w:firstLine="555"/>
        <w:spacing w:after="0" w:line="255" w:lineRule="auto"/>
        <w:rPr>
          <w:sz w:val="20"/>
          <w:szCs w:val="20"/>
          <w:color w:val="auto"/>
        </w:rPr>
      </w:pPr>
      <w:r>
        <w:rPr>
          <w:rFonts w:ascii="Arial" w:cs="Arial" w:eastAsia="Arial" w:hAnsi="Arial"/>
          <w:sz w:val="18"/>
          <w:szCs w:val="18"/>
          <w:color w:val="auto"/>
        </w:rPr>
        <w:t>Our ability to increase our customer base and achieve broader market acceptance of our platform will depend to a significant extent on our ability to expand our sales and marketing operations. We plan to continue expanding our sales force and third-party strategic sales partners,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If we are not able to maintain and enhance our brand, our business and operating results may be adversely affected.</w:t>
      </w:r>
    </w:p>
    <w:p>
      <w:pPr>
        <w:spacing w:after="0" w:line="117"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color w:val="auto"/>
        </w:rPr>
        <w:t>We believe that developing and maintaining widespread awareness of our brand in a cost-effective manner is critical to achieving widespread acceptance of our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revenue is highly dependent on selling software to new and existing customers.</w:t>
      </w:r>
    </w:p>
    <w:p>
      <w:pPr>
        <w:spacing w:after="0" w:line="117"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We derive a majority of our services revenue from professional services that relate to the development and delivery of new applications using our platform, after a customer has made an initial or additional software purchase. Accordingly, our failure to sell software may have a collateral adverse impact on our services revenue and our overall operational results.</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a license agreement, near term changes in sales may not be reflected immediately in our operating results.</w:t>
      </w:r>
    </w:p>
    <w:p>
      <w:pPr>
        <w:spacing w:after="0" w:line="6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We offer our solution primarily through multi-year subscription agreements and generally recognize revenue ratably over the related license period. As a result, much of the revenue that we report in each quarter is derived from the recognition of previously unbilled contract value relating to agreements entered into during prior periods. In addition, because we invoice the majority of customers for not more than the next fiscal year, including customers with multi-year agreements, we do not record deferred revenue beyond amounts invoiced as a liability on our balance sheet. Accordingly, a decline in new or renewal subscription agreements in any quarter is not likely to be reflected immediately in our revenue results for that quarter. Such declines, however, would negatively affect our revenue and to a lesser extent deferred revenue balance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9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rely upon Amazon Web Services to operate our cloud offering; any disruption of or interference with our use of Amazon Web Services would adversely affect our business, results of operations and financial condition.</w:t>
      </w:r>
    </w:p>
    <w:p>
      <w:pPr>
        <w:spacing w:after="0" w:line="62"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We outsource substantially all of the infrastructure relating to our cloud offering to Amazon Web Services, or AWS, which hosts our platform on our customers’ behalf. Customers of our cloud offering need to be able to access our platform at any time, without interruption or degradation of performance, and we provide them with service level commitments with respect to uptime. AWS runs its own platform that we access, and we are, therefore, vulnerable to service interruptions at AWS. We may experience interruptions, delays and outages in service and availability from time to time as a result of problems with our AWS provided infrastructure. For example, in September 2015, AWS suffered a significant outage that had a widespread impact on cloud-based software and services companies. Although our customers were not affected by that outage, a similar outage could render our cloud offering inaccessible to customers. Additionally, AWS has suffered outages at specific customer locations in the past, rendering the customer unable to access our offering for periods of time. Lack of availability of our AWS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operating results.</w:t>
      </w:r>
    </w:p>
    <w:p>
      <w:pPr>
        <w:spacing w:after="0" w:line="178"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In addition, if the security of the AWS infrastructure is compromised or believed to have been compromised, our business, results of operations and financial condition could be adversely affected. It is possible that our customers and potential customers would hold us accountable for any breach of security affecting the AWS infrastructure and we may incur significant liability from those customers and from third parties with respect to any breach affecting AWS systems. Because our agreement with AWS limits AWS’s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45" w:name="page46"/>
    <w:bookmarkEnd w:id="45"/>
    <w:p>
      <w:pPr>
        <w:ind w:firstLine="555"/>
        <w:spacing w:after="0" w:line="257" w:lineRule="auto"/>
        <w:rPr>
          <w:sz w:val="20"/>
          <w:szCs w:val="20"/>
          <w:color w:val="auto"/>
        </w:rPr>
      </w:pPr>
      <w:r>
        <w:rPr>
          <w:rFonts w:ascii="Arial" w:cs="Arial" w:eastAsia="Arial" w:hAnsi="Arial"/>
          <w:sz w:val="18"/>
          <w:szCs w:val="18"/>
          <w:color w:val="auto"/>
        </w:rPr>
        <w:t>Our agreement with AWS allows AWS to terminate the agreement by providing one year’s prior written notice, and may allow AWS to terminate in case of a breach of contract if such breach is uncured for 30 days, or to terminate immediately if AWS’s further provision of services to us becomes impractical for legal or regulatory reasons. Although we expect that we could receive similar services from other third parties, if any of our arrangements with AWS are terminated, we could experience interruptions on our platform and in our ability to make our platform available to customers, as well as delays and additional expenses in arranging alternative cloud infrastructure services.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platform fails to perform properly, our reputation could be adversely affected, our market share could decline and we could be subject to liability claims.</w:t>
      </w:r>
    </w:p>
    <w:p>
      <w:pPr>
        <w:spacing w:after="0" w:line="62" w:lineRule="exact"/>
        <w:rPr>
          <w:sz w:val="20"/>
          <w:szCs w:val="20"/>
          <w:color w:val="auto"/>
        </w:rPr>
      </w:pPr>
    </w:p>
    <w:p>
      <w:pPr>
        <w:ind w:right="740" w:firstLine="555"/>
        <w:spacing w:after="0" w:line="277" w:lineRule="auto"/>
        <w:rPr>
          <w:sz w:val="20"/>
          <w:szCs w:val="20"/>
          <w:color w:val="auto"/>
        </w:rPr>
      </w:pPr>
      <w:r>
        <w:rPr>
          <w:rFonts w:ascii="Arial" w:cs="Arial" w:eastAsia="Arial" w:hAnsi="Arial"/>
          <w:sz w:val="18"/>
          <w:szCs w:val="18"/>
          <w:color w:val="auto"/>
        </w:rPr>
        <w:t>Our platform is inherently complex and may contain material defects or errors. Any defects in functionality or that cause interruptions in the availability of our platform could result in:</w:t>
      </w:r>
    </w:p>
    <w:p>
      <w:pPr>
        <w:sectPr>
          <w:pgSz w:w="11900" w:h="16838" w:orient="portrait"/>
          <w:cols w:equalWidth="0" w:num="1">
            <w:col w:w="11400"/>
          </w:cols>
          <w:pgMar w:left="240" w:top="571" w:right="259" w:bottom="1440" w:gutter="0" w:footer="0" w:header="0"/>
        </w:sectPr>
      </w:pP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loss or delayed market acceptance and sales;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breach of warranty claims;</w:t>
      </w:r>
    </w:p>
    <w:p>
      <w:pPr>
        <w:spacing w:after="0" w:line="90" w:lineRule="exact"/>
        <w:rPr>
          <w:sz w:val="20"/>
          <w:szCs w:val="20"/>
          <w:color w:val="auto"/>
        </w:rPr>
      </w:pPr>
    </w:p>
    <w:p>
      <w:pPr>
        <w:ind w:right="4260"/>
        <w:spacing w:after="0" w:line="344" w:lineRule="auto"/>
        <w:rPr>
          <w:sz w:val="20"/>
          <w:szCs w:val="20"/>
          <w:color w:val="auto"/>
        </w:rPr>
      </w:pPr>
      <w:r>
        <w:rPr>
          <w:rFonts w:ascii="Arial" w:cs="Arial" w:eastAsia="Arial" w:hAnsi="Arial"/>
          <w:sz w:val="18"/>
          <w:szCs w:val="18"/>
          <w:color w:val="auto"/>
        </w:rPr>
        <w:t>sales credits or refunds for prepaid amounts related to unused subscription services; loss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diversion of development and support resources; and/or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injury to our reputation.</w:t>
      </w:r>
    </w:p>
    <w:p>
      <w:pPr>
        <w:spacing w:after="0" w:line="211" w:lineRule="exact"/>
        <w:rPr>
          <w:sz w:val="20"/>
          <w:szCs w:val="20"/>
          <w:color w:val="auto"/>
        </w:rPr>
      </w:pPr>
    </w:p>
    <w:p>
      <w:pPr>
        <w:sectPr>
          <w:pgSz w:w="11900" w:h="16838" w:orient="portrait"/>
          <w:cols w:equalWidth="0" w:num="2">
            <w:col w:w="660" w:space="460"/>
            <w:col w:w="10280"/>
          </w:cols>
          <w:pgMar w:left="240" w:top="571" w:right="25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The costs incurred in correcting any material defects or errors might be substantial and could adversely affect our operating results.</w:t>
      </w:r>
    </w:p>
    <w:p>
      <w:pPr>
        <w:spacing w:after="0" w:line="225"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Our customer agreements often provide service level commitments on a monthly basis. If we are unable to meet the stated service level commitments or suffer extended periods of unavailability for our platform, we may be contractually obligated to provide these customers with service credits, refunds for prepaid amounts or we could face contract terminations. Our revenue could be significantly affected if we suffer unscheduled downtime that exceeds the allowed downtimes under our agreements with our customers.</w:t>
      </w:r>
    </w:p>
    <w:p>
      <w:pPr>
        <w:spacing w:after="0" w:line="187" w:lineRule="exact"/>
        <w:rPr>
          <w:sz w:val="20"/>
          <w:szCs w:val="20"/>
          <w:color w:val="auto"/>
        </w:rPr>
      </w:pPr>
    </w:p>
    <w:p>
      <w:pPr>
        <w:ind w:right="100" w:firstLine="555"/>
        <w:spacing w:after="0" w:line="271" w:lineRule="auto"/>
        <w:rPr>
          <w:sz w:val="20"/>
          <w:szCs w:val="20"/>
          <w:color w:val="auto"/>
        </w:rPr>
      </w:pPr>
      <w:r>
        <w:rPr>
          <w:rFonts w:ascii="Arial" w:cs="Arial" w:eastAsia="Arial" w:hAnsi="Arial"/>
          <w:sz w:val="17"/>
          <w:szCs w:val="17"/>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customers regard as significant. Furthermore, the availability or performance of our platform could be adversely affected by a number of factors, including customers’ inability to access the internet, the failure of our network or software systems, security breaches or variability in user traffic for our services. For example, our cloud offering customers access our platform through their internet service providers. If a customers’ service provider fails to provide sufficient capacity to support our platform or otherwise experiences service outages, such failure could interrupt our customers’ access to our platform, adversely affect their perception of our platform’s reliability and reduce our revenue. In addition to potential liability, if we experience interruptions in the availability of our cloud offering, our reputation could be adversely affected and we could lose customers.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business and reputation would suffer.</w:t>
      </w:r>
    </w:p>
    <w:p>
      <w:pPr>
        <w:spacing w:after="0" w:line="117"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Our customers rely on our personnel for support of our platform. High-quality support is important for the renewal of our agreements with existing customers and to our existing customers purchasing additional software.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strategy of offering and deploying our platform in the cloud, on-premises or using a hybrid approach causes us to incur increased expenses and may pose challenges to our business.</w:t>
      </w:r>
    </w:p>
    <w:p>
      <w:pPr>
        <w:spacing w:after="0" w:line="62" w:lineRule="exact"/>
        <w:rPr>
          <w:sz w:val="20"/>
          <w:szCs w:val="20"/>
          <w:color w:val="auto"/>
        </w:rPr>
      </w:pPr>
    </w:p>
    <w:p>
      <w:pPr>
        <w:ind w:right="120" w:firstLine="555"/>
        <w:spacing w:after="0" w:line="279" w:lineRule="auto"/>
        <w:rPr>
          <w:sz w:val="20"/>
          <w:szCs w:val="20"/>
          <w:color w:val="auto"/>
        </w:rPr>
      </w:pPr>
      <w:r>
        <w:rPr>
          <w:rFonts w:ascii="Arial" w:cs="Arial" w:eastAsia="Arial" w:hAnsi="Arial"/>
          <w:sz w:val="17"/>
          <w:szCs w:val="17"/>
          <w:color w:val="auto"/>
        </w:rPr>
        <w:t>We offer and sell our platform in the cloud, on-premises or using a hybrid approach using the customer’s own infrastructure. Our cloud offering enables our customers to eliminate the burden of provisioning and maintaining infrastructure and to scale their usage of our software platform quickly, while our on-premises offering allows for the customer’s complete control over data security and software infrastructure. Historically, our platform was developed in the context of the on-premises offering, and we have less operating experience offering and selling subscriptions to our platform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7"/>
          <w:szCs w:val="17"/>
          <w:color w:val="auto"/>
        </w:rPr>
        <w:t>via our cloud offering. Although a substantial majority of our revenue has historically been generated from customers using our platform on an on-</w:t>
      </w:r>
    </w:p>
    <w:p>
      <w:pPr>
        <w:spacing w:after="0" w:line="3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premises basis, our customers are increasingly adopting our cloud offering. We expect that our customers will continue to move to our cloud offering and that it will become more central to our distribution model. To support both on-premises and cloud instances of our platform, our support team must be trained on and learn multiple environments in which our software is deployed, which is more expensive than supporting only a cloud offering. Moreover, we must engineer our software for both an on-premises and cloud offering installation, which may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platform,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2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As a result of our customers’ increased usage of our cloud offering, we will need to continually improve our computer network and infrastructure to avoid service interruptions or slower system performance.</w:t>
      </w:r>
    </w:p>
    <w:p>
      <w:pPr>
        <w:spacing w:after="0" w:line="62"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As usage of our cloud offering grows and as customers use it for more complicated applications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platform to customers. These performance issues could result in lost customer opportunities and lower renewal rates, any of which could hurt our revenue growth, customer loyalty and reputation.</w:t>
      </w:r>
    </w:p>
    <w:p>
      <w:pPr>
        <w:spacing w:after="0" w:line="29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 and our business may be harmed.</w:t>
      </w:r>
    </w:p>
    <w:p>
      <w:pPr>
        <w:spacing w:after="0" w:line="62"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believe that a critical component to our success has been our corporate culture. We have invested substantial time and resources in building our team and maintaining that corporate culture through the growth of our company. As we grow and develop the infrastructure of a public company, we may find it difficult to maintain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right="300" w:firstLine="555"/>
        <w:spacing w:after="0" w:line="297" w:lineRule="auto"/>
        <w:rPr>
          <w:sz w:val="20"/>
          <w:szCs w:val="20"/>
          <w:color w:val="auto"/>
        </w:rPr>
      </w:pPr>
      <w:r>
        <w:rPr>
          <w:rFonts w:ascii="Arial" w:cs="Arial" w:eastAsia="Arial" w:hAnsi="Arial"/>
          <w:sz w:val="16"/>
          <w:szCs w:val="16"/>
          <w:color w:val="auto"/>
        </w:rPr>
        <w:t>A component of our growth strategy involves the further expansion of our operations and customer base internationally. In 2014, 2015 and 2016, revenue generated from customers outside the United States was 26%, 20% and 20%, respectively, of our total revenue. We currently have international offices in the United Kingdom, continental Europe and Australia, which focus primarily on selling and implementing our platform in those regions. In the future, we may expand to other international locations. Our current international operations and future initiatives will involve a variety of risks, including:</w:t>
      </w:r>
    </w:p>
    <w:p>
      <w:pPr>
        <w:sectPr>
          <w:pgSz w:w="11900" w:h="16838" w:orient="portrait"/>
          <w:cols w:equalWidth="0" w:num="1">
            <w:col w:w="11400"/>
          </w:cols>
          <w:pgMar w:left="240" w:top="463" w:right="259" w:bottom="1440" w:gutter="0" w:footer="0" w:header="0"/>
        </w:sect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840"/>
        <w:spacing w:after="0" w:line="387" w:lineRule="auto"/>
        <w:rPr>
          <w:sz w:val="20"/>
          <w:szCs w:val="20"/>
          <w:color w:val="auto"/>
        </w:rPr>
      </w:pPr>
      <w:r>
        <w:rPr>
          <w:rFonts w:ascii="Arial" w:cs="Arial" w:eastAsia="Arial" w:hAnsi="Arial"/>
          <w:sz w:val="16"/>
          <w:szCs w:val="16"/>
          <w:color w:val="auto"/>
        </w:rPr>
        <w:t>changes in a specific country’s or region’s political or economic conditions; unexpected changes in regulatory requirements, taxes or trade laws;</w:t>
      </w:r>
    </w:p>
    <w:p>
      <w:pPr>
        <w:spacing w:after="0" w:line="1"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spacing w:after="0" w:line="6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spacing w:after="0" w:line="6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62"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1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660" w:space="460"/>
            <w:col w:w="10280"/>
          </w:cols>
          <w:pgMar w:left="240" w:top="463" w:right="259" w:bottom="1440" w:gutter="0" w:footer="0" w:header="0"/>
          <w:type w:val="continuous"/>
        </w:sectPr>
      </w:pPr>
    </w:p>
    <w:bookmarkStart w:id="47" w:name="page48"/>
    <w:bookmarkEnd w:id="47"/>
    <w:p>
      <w:pPr>
        <w:ind w:left="560"/>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rPr>
          <w:sz w:val="20"/>
          <w:szCs w:val="20"/>
          <w:color w:val="auto"/>
        </w:rPr>
      </w:pPr>
      <w:r>
        <w:rPr>
          <w:rFonts w:ascii="Arial" w:cs="Arial" w:eastAsia="Arial" w:hAnsi="Arial"/>
          <w:sz w:val="27"/>
          <w:szCs w:val="27"/>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choose to do so in the future;</w:t>
      </w:r>
    </w:p>
    <w:p>
      <w:pPr>
        <w:spacing w:after="0" w:line="62" w:lineRule="exact"/>
        <w:rPr>
          <w:sz w:val="20"/>
          <w:szCs w:val="20"/>
          <w:color w:val="auto"/>
        </w:rPr>
      </w:pPr>
    </w:p>
    <w:p>
      <w:pPr>
        <w:ind w:right="320"/>
        <w:spacing w:after="0" w:line="344" w:lineRule="auto"/>
        <w:rPr>
          <w:sz w:val="20"/>
          <w:szCs w:val="20"/>
          <w:color w:val="auto"/>
        </w:rPr>
      </w:pPr>
      <w:r>
        <w:rPr>
          <w:rFonts w:ascii="Arial" w:cs="Arial" w:eastAsia="Arial" w:hAnsi="Arial"/>
          <w:sz w:val="18"/>
          <w:szCs w:val="18"/>
          <w:color w:val="auto"/>
        </w:rPr>
        <w:t>limitations on our ability to reinvest earnings from operations in one country to fund the capital needs of our operations in other countries; laws and business practices favoring local competitors or general preferences for local vendors; limited or insufficient intellectual property protection;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political instability or terrorist activities;</w:t>
      </w:r>
    </w:p>
    <w:p>
      <w:pPr>
        <w:spacing w:after="0" w:line="9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exposure to liabilities under anti-corruption and anti-money laundering laws, including the U.S. Foreign Corrupt Practices Act and similar laws and regulations in other jurisdictions; and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11" w:lineRule="exact"/>
        <w:rPr>
          <w:sz w:val="20"/>
          <w:szCs w:val="20"/>
          <w:color w:val="auto"/>
        </w:rPr>
      </w:pPr>
    </w:p>
    <w:p>
      <w:pPr>
        <w:sectPr>
          <w:pgSz w:w="11900" w:h="16838" w:orient="portrait"/>
          <w:cols w:equalWidth="0" w:num="2">
            <w:col w:w="660" w:space="460"/>
            <w:col w:w="10260"/>
          </w:cols>
          <w:pgMar w:left="240" w:top="402" w:right="279" w:bottom="1440" w:gutter="0" w:footer="0" w:header="0"/>
        </w:sectPr>
      </w:pPr>
    </w:p>
    <w:p>
      <w:pPr>
        <w:jc w:val="both"/>
        <w:ind w:right="120" w:firstLine="555"/>
        <w:spacing w:after="0" w:line="264"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117"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Identifying partners, and negotiating and documenting relationships with them, requires significant time and resources. Our agreements with our strategic partners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platform,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platform by potential customers.</w:t>
      </w:r>
    </w:p>
    <w:p>
      <w:pPr>
        <w:spacing w:after="0" w:line="192" w:lineRule="exact"/>
        <w:rPr>
          <w:sz w:val="20"/>
          <w:szCs w:val="20"/>
          <w:color w:val="auto"/>
        </w:rPr>
      </w:pPr>
    </w:p>
    <w:p>
      <w:pPr>
        <w:ind w:right="380" w:firstLine="555"/>
        <w:spacing w:after="0" w:line="264"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platform or increased 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40"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Generally, contracts executed by our foreign operations are denominated in the currency of that country or region and a portion of our revenue is therefore subject to foreign currency risks. As we continue to expand our international operations, we become more exposed to the effects of fluctuations in currency exchange rates. A strengthening of the U.S. dollar could increase the real cost of our platform to our customers outside of the United States, adversely affecting our business operations and financial results. We incur expenses for employee compensation and other operating expenses at our non-U.S. locations in the local currency, and fluctuations in the exchange rates between the U.S. dollar and other currencies could result in the dollar equivalent of such expenses being higher. This could have a negative impact on our reported operating results. To date, we have not engaged in any hedging strategies, and any such strategies, such as forward contracts, options and foreign exchange swaps related to transaction exposures that we may implement to mitigate this risk may not eliminate our exposure to foreign exchange fluctuations.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117" w:lineRule="exact"/>
        <w:rPr>
          <w:sz w:val="20"/>
          <w:szCs w:val="20"/>
          <w:color w:val="auto"/>
        </w:rPr>
      </w:pPr>
    </w:p>
    <w:p>
      <w:pPr>
        <w:ind w:right="580" w:firstLine="555"/>
        <w:spacing w:after="0" w:line="312" w:lineRule="auto"/>
        <w:rPr>
          <w:sz w:val="20"/>
          <w:szCs w:val="20"/>
          <w:color w:val="auto"/>
        </w:rPr>
      </w:pPr>
      <w:r>
        <w:rPr>
          <w:rFonts w:ascii="Arial" w:cs="Arial" w:eastAsia="Arial" w:hAnsi="Arial"/>
          <w:sz w:val="16"/>
          <w:szCs w:val="16"/>
          <w:color w:val="auto"/>
        </w:rPr>
        <w:t>Although we have not done so in the past, we may choose to expand by acquiring businesses or technologies. Our ability as an organization to successfully acquire and integrate technologies or businesses is unproven. Acquisitions involve many risks, including the following:</w:t>
      </w:r>
    </w:p>
    <w:p>
      <w:pPr>
        <w:sectPr>
          <w:pgSz w:w="11900" w:h="16838" w:orient="portrait"/>
          <w:cols w:equalWidth="0" w:num="1">
            <w:col w:w="11380"/>
          </w:cols>
          <w:pgMar w:left="240" w:top="679" w:right="279" w:bottom="1440" w:gutter="0" w:footer="0" w:header="0"/>
        </w:sectPr>
      </w:pP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0" w:lineRule="exact"/>
        <w:rPr>
          <w:sz w:val="20"/>
          <w:szCs w:val="20"/>
          <w:color w:val="auto"/>
        </w:rPr>
      </w:pPr>
    </w:p>
    <w:p>
      <w:pPr>
        <w:spacing w:after="0" w:line="354"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1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may encounter difficulties in successfully selling, or may be unable to successfully sell, any acquired solutions;</w:t>
      </w:r>
    </w:p>
    <w:p>
      <w:pPr>
        <w:spacing w:after="0" w:line="9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use of cash to pay for an acquisition would limit other potential uses for our cash; and</w:t>
      </w:r>
    </w:p>
    <w:p>
      <w:pPr>
        <w:spacing w:after="0" w:line="9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83" w:lineRule="exact"/>
        <w:rPr>
          <w:sz w:val="20"/>
          <w:szCs w:val="20"/>
          <w:color w:val="auto"/>
        </w:rPr>
      </w:pPr>
    </w:p>
    <w:p>
      <w:pPr>
        <w:sectPr>
          <w:pgSz w:w="11900" w:h="16838" w:orient="portrait"/>
          <w:cols w:equalWidth="0" w:num="2">
            <w:col w:w="660" w:space="460"/>
            <w:col w:w="10260"/>
          </w:cols>
          <w:pgMar w:left="240" w:top="679" w:right="279" w:bottom="1440" w:gutter="0" w:footer="0" w:header="0"/>
          <w:type w:val="continuous"/>
        </w:sectPr>
      </w:pPr>
    </w:p>
    <w:p>
      <w:pPr>
        <w:ind w:firstLine="555"/>
        <w:spacing w:after="0" w:line="302" w:lineRule="auto"/>
        <w:rPr>
          <w:sz w:val="20"/>
          <w:szCs w:val="20"/>
          <w:color w:val="auto"/>
        </w:rPr>
      </w:pPr>
      <w:r>
        <w:rPr>
          <w:rFonts w:ascii="Arial" w:cs="Arial" w:eastAsia="Arial" w:hAnsi="Arial"/>
          <w:sz w:val="16"/>
          <w:szCs w:val="16"/>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 all.</w:t>
      </w:r>
    </w:p>
    <w:p>
      <w:pPr>
        <w:spacing w:after="0" w:line="117" w:lineRule="exact"/>
        <w:rPr>
          <w:sz w:val="20"/>
          <w:szCs w:val="20"/>
          <w:color w:val="auto"/>
        </w:rPr>
      </w:pPr>
    </w:p>
    <w:p>
      <w:pPr>
        <w:ind w:right="120" w:firstLine="555"/>
        <w:spacing w:after="0" w:line="289"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employ third-party licensed software for use in or with our software, and the inability to maintain these licenses or errors in the software we license could result in increased costs, or reduced service levels, which would adversely affect our business.</w:t>
      </w:r>
    </w:p>
    <w:p>
      <w:pPr>
        <w:spacing w:after="0" w:line="62"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Our software incorporates certain third-party software obtained under licenses from other companies, including database software from Kx Systems, Inc. We anticipate that we will continue to rely on such third-party software and development tools from third parties in the future. Although we believe that there are commercially reasonable alternatives to the third-party software we currently license, including open source software, this may not always be the case, or it may be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type w:val="continuous"/>
        </w:sectPr>
      </w:pPr>
    </w:p>
    <w:bookmarkStart w:id="49" w:name="page50"/>
    <w:bookmarkEnd w:id="49"/>
    <w:p>
      <w:pPr>
        <w:ind w:right="140"/>
        <w:spacing w:after="0" w:line="257" w:lineRule="auto"/>
        <w:rPr>
          <w:sz w:val="20"/>
          <w:szCs w:val="20"/>
          <w:color w:val="auto"/>
        </w:rPr>
      </w:pPr>
      <w:r>
        <w:rPr>
          <w:rFonts w:ascii="Arial" w:cs="Arial" w:eastAsia="Arial" w:hAnsi="Arial"/>
          <w:sz w:val="18"/>
          <w:szCs w:val="18"/>
          <w:color w:val="auto"/>
        </w:rPr>
        <w:t>difficult or costly to migrate to other third-party software. Our use of additional or alternative third-party software would require us to enter into license agreements with third parties. In addition, integration of the third-party software used in our software with new third-party software may require significant work and require substantial investment of our time and resources. Also, any undetected errors or defects in third-party software could prevent the deployment or impair the functionality of our software, delay new updates or enhancements to our platform, result in a failure of our platform and injure our reputation.</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platform with third-party applications that our customers use in their businesses, our revenue will decline.</w:t>
      </w:r>
    </w:p>
    <w:p>
      <w:pPr>
        <w:spacing w:after="0" w:line="62"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The functionality and attractiveness of our platform depends, in part, on our ability to integrate our platform with third-party applications and platforms, including customer relationship management, human resources information, accounting and enterprise resource planning systems that our customers use and from which they obtain data. Third-party providers of applications and application program interfaces, or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software with new third-party applications and platforms that our customers use, we may not be able to offer the functionality that our customers need, which would negatively impact our ability to generate revenue and adversely impact our business.</w:t>
      </w:r>
    </w:p>
    <w:p>
      <w:pPr>
        <w:spacing w:after="0" w:line="2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Portions of our platform utilize open source software, and any failure to comply with the terms of one or more of these open source licenses could negatively affect our business.</w:t>
      </w:r>
    </w:p>
    <w:p>
      <w:pPr>
        <w:spacing w:after="0" w:line="62"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Our software contains software licensed to us by third parties under so-called “open source” licenses, including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w:t>
      </w:r>
    </w:p>
    <w:p>
      <w:pPr>
        <w:spacing w:after="0" w:line="192"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platform. By the terms of certain open source licenses, we could be required to release the source code of our software and to make our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platform. Many of the risks associated with usage of open source software cannot be eliminated, and could negatively affect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Our corporate headquarters are located in Reston, Virginia. The area around Washington, D.C. could be subjected to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U.S. 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1"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 xml:space="preserve">In particular, 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supersedes the revenue recognition requirements in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Jumpstart Our Business Startups Act, or the JOBS Act, allows us to delay adoption of new or revised accounting pronouncements applicable to public companies until such pronouncements are made applicable to private companies. We have elected to use this extended transition period under the JOBS Act with respect to ASU 2014-09, which will result in ASU 2014-09 becoming applicable to us on January 1, 2019.</w:t>
      </w:r>
    </w:p>
    <w:p>
      <w:pPr>
        <w:spacing w:after="0" w:line="189"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are evaluating ASU 2014-09 and have not determined the impact it may have on our financial reporting. If, for example, we were required to recognize revenue differently with respect to our term license subscriptions and our cloud-based licenses, the differential revenue recognition may cause variability in our reported operating results due to periodic or long-term changes in the mix between term license subscriptions and cloud subscriptions to our platform.</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140"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 Item 2, “Management’s Discussion and Analysis of Financial Condition and Results of Operations”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income taxes and the related valuation allowance, stock-based compensation and fair value measurements for our previously outstanding preferred stock warrant.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may negatively impact our business.</w:t>
      </w:r>
    </w:p>
    <w:p>
      <w:pPr>
        <w:spacing w:after="0" w:line="117" w:lineRule="exact"/>
        <w:rPr>
          <w:sz w:val="20"/>
          <w:szCs w:val="20"/>
          <w:color w:val="auto"/>
        </w:rPr>
      </w:pPr>
    </w:p>
    <w:p>
      <w:pPr>
        <w:ind w:right="40" w:firstLine="555"/>
        <w:spacing w:after="0" w:line="289" w:lineRule="auto"/>
        <w:rPr>
          <w:sz w:val="20"/>
          <w:szCs w:val="20"/>
          <w:color w:val="auto"/>
        </w:rPr>
      </w:pPr>
      <w:r>
        <w:rPr>
          <w:rFonts w:ascii="Arial" w:cs="Arial" w:eastAsia="Arial" w:hAnsi="Arial"/>
          <w:sz w:val="16"/>
          <w:szCs w:val="16"/>
          <w:color w:val="auto"/>
        </w:rPr>
        <w:t>Our business depends on the overall demand for enterprise software and on the economic health of our current and prospective customers. The financial recession that began in 2008 resulted in a significant weakening of the economy in the United States and Europe and of the global economy, more limited availability of credit, a reduction in business confidence and activity, and other difficulties that may affect one or more of the industries to which we sell our platform. In addition, the economies of countries in Europe have been experiencing weakness associated with high sovereign debt levels, weakness in the banking sector and uncertainty over the future of the Euro zone. We have operations in the United Kingdom and in Europe and current and potential new customers in Europe. If economic conditions in Europe and other key markets for our platform continue to remain uncertain or deteriorate further, many customers may delay or reduce their information technology spending. This could result in reductions in sales of our platform, a decrease in our renewal rate, longer sales cycles, reductions in subscription duration and value, slower adoption of new technologies and increased price competition. Any of these events would likely have an adverse effect on our business, operating results and financial position.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51" w:name="page52"/>
    <w:bookmarkEnd w:id="51"/>
    <w:p>
      <w:pPr>
        <w:ind w:right="4140"/>
        <w:spacing w:after="0" w:line="425" w:lineRule="auto"/>
        <w:rPr>
          <w:sz w:val="20"/>
          <w:szCs w:val="20"/>
          <w:color w:val="auto"/>
        </w:rPr>
      </w:pPr>
      <w:r>
        <w:rPr>
          <w:rFonts w:ascii="Arial" w:cs="Arial" w:eastAsia="Arial" w:hAnsi="Arial"/>
          <w:sz w:val="16"/>
          <w:szCs w:val="16"/>
          <w:b w:val="1"/>
          <w:bCs w:val="1"/>
          <w:color w:val="auto"/>
        </w:rPr>
        <w:t xml:space="preserve">Risks Related to Government Regulation, Data Collection, Intellectual Property and Litigation </w:t>
      </w:r>
      <w:r>
        <w:rPr>
          <w:rFonts w:ascii="Arial" w:cs="Arial" w:eastAsia="Arial" w:hAnsi="Arial"/>
          <w:sz w:val="16"/>
          <w:szCs w:val="16"/>
          <w:b w:val="1"/>
          <w:bCs w:val="1"/>
          <w:i w:val="1"/>
          <w:iCs w:val="1"/>
          <w:color w:val="auto"/>
        </w:rPr>
        <w:t>Failure to comply with governmental laws and regulations could harm our business.</w:t>
      </w:r>
    </w:p>
    <w:p>
      <w:pPr>
        <w:spacing w:after="0" w:line="1"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Our business is subject to regulation by various federal, state, local and foreign governments.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injunctions or other collateral consequences. If any governmental sanctions are imposed, or if we do not prevail in any possible civil or criminal litigation, our business, results of operations,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reputation, results of operations and financial condition.</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our software could be used to collect and store personal information, domestic and international privacy concerns could result in additional costs and liabilities to us or inhibit sales of our software.</w:t>
      </w:r>
    </w:p>
    <w:p>
      <w:pPr>
        <w:spacing w:after="0" w:line="62"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Personal privacy has become a significant issue in the United States and in many other countries where we offer our software for sale. The regulatory framework for privacy issues worldwide is rapidly evolving and is likely to remain uncertain for the foreseeable future. Many federal, state and foreign government bodies and agencies have adopted or are considering adopting laws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7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the Gramm Leach Bliley Act and state laws relating to privacy and data security. Internationally, virtually every jurisdiction in which we operate has established its own data security and privacy legal framework with which we or our customers must comply. Since we are agnostic as to the data uploaded into our cloud offering by our cloud offering customers or processed by our platform in on-premises deployments, we may be hosting or otherwise processing substantial amounts of individually identifiable health information and other types of personally identifiable information.</w:t>
      </w:r>
    </w:p>
    <w:p>
      <w:pPr>
        <w:spacing w:after="0" w:line="178"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color w:val="auto"/>
        </w:rPr>
        <w:t>In addition to government regulation, privacy advocates and industry groups may propose new and different self-regulatory standards that may apply to us. Because the interpretation and application of privacy and data protection laws are still uncertain, it is possible that these laws and other actual or alleged legal obligations, such as contractual or self-regulatory obligations, may be interpreted and applied in a manner that is inconsistent with our existing data management practices or the features of our platform. If so, in addition to the possibility of fines, lawsuits and other claims, we could be required to fundamentally change our business activities and practices or modify our software, which could have an adverse effect on our business. Any inability to adequately address privacy concerns, even if unfounded, or comply with applicable privacy or data protection laws, regulations and policies, could result in additional cost and liability to us, damage our reputation, inhibit sales and adversely affect our business.</w:t>
      </w:r>
    </w:p>
    <w:p>
      <w:pPr>
        <w:spacing w:after="0" w:line="178" w:lineRule="exact"/>
        <w:rPr>
          <w:sz w:val="20"/>
          <w:szCs w:val="20"/>
          <w:color w:val="auto"/>
        </w:rPr>
      </w:pPr>
    </w:p>
    <w:p>
      <w:pPr>
        <w:jc w:val="both"/>
        <w:ind w:right="200" w:firstLine="555"/>
        <w:spacing w:after="0" w:line="264"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protect our proprietary technology and intellectual property rights could substantially harm our business and operating results.</w:t>
      </w:r>
    </w:p>
    <w:p>
      <w:pPr>
        <w:spacing w:after="0" w:line="140"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66"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As of June 30, 2017, we had one issued patent relating to our Self-Assembling Interface Layer, or SAIL, technology and two patent applications pending in the United States relating to our platform.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2" w:name="page53"/>
    <w:bookmarkEnd w:id="52"/>
    <w:p>
      <w:pPr>
        <w:ind w:right="20"/>
        <w:spacing w:after="0" w:line="254" w:lineRule="auto"/>
        <w:rPr>
          <w:sz w:val="20"/>
          <w:szCs w:val="20"/>
          <w:color w:val="auto"/>
        </w:rPr>
      </w:pPr>
      <w:r>
        <w:rPr>
          <w:rFonts w:ascii="Arial" w:cs="Arial" w:eastAsia="Arial" w:hAnsi="Arial"/>
          <w:sz w:val="18"/>
          <w:szCs w:val="18"/>
          <w:color w:val="auto"/>
        </w:rPr>
        <w:t>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“Appian” name and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192"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color w:val="auto"/>
        </w:rPr>
        <w:t>In order to protect our unpatented proprietary technologies and processes, we rely on trade secret laws and confidentiality and invention assignment agreements with our employees, consultants, strategic partners, vendors and others. Some of our customer contracts also require us to place our proprietary source code in escrow for the benefit of our customer in the event we go bankrupt, become insolvent or are unable to fulfill our support obligations under our customer contracts. Also,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platform and proprietary information may increase. We may be unable to determine the extent of any unauthorized use or infringement of our platform, technologies or intellectual property rights.</w:t>
      </w:r>
    </w:p>
    <w:p>
      <w:pPr>
        <w:spacing w:after="0" w:line="169" w:lineRule="exact"/>
        <w:rPr>
          <w:sz w:val="20"/>
          <w:szCs w:val="20"/>
          <w:color w:val="auto"/>
        </w:rPr>
      </w:pPr>
    </w:p>
    <w:p>
      <w:pPr>
        <w:ind w:right="160" w:firstLine="555"/>
        <w:spacing w:after="0" w:line="297" w:lineRule="auto"/>
        <w:rPr>
          <w:sz w:val="20"/>
          <w:szCs w:val="20"/>
          <w:color w:val="auto"/>
        </w:rPr>
      </w:pPr>
      <w:r>
        <w:rPr>
          <w:rFonts w:ascii="Arial" w:cs="Arial" w:eastAsia="Arial" w:hAnsi="Arial"/>
          <w:sz w:val="16"/>
          <w:szCs w:val="16"/>
          <w:color w:val="auto"/>
        </w:rPr>
        <w:t>There can be no assurance that the steps that we take will be adequate to protect our proprietary technology and intellectual property, that others will not develop or patent similar or superior technologies, products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158" w:lineRule="exact"/>
        <w:rPr>
          <w:sz w:val="20"/>
          <w:szCs w:val="20"/>
          <w:color w:val="auto"/>
        </w:rPr>
      </w:pPr>
    </w:p>
    <w:p>
      <w:pPr>
        <w:ind w:right="300" w:firstLine="555"/>
        <w:spacing w:after="0" w:line="276"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62" w:lineRule="exact"/>
        <w:rPr>
          <w:sz w:val="20"/>
          <w:szCs w:val="20"/>
          <w:color w:val="auto"/>
        </w:rPr>
      </w:pPr>
    </w:p>
    <w:p>
      <w:pPr>
        <w:ind w:right="80" w:firstLine="555"/>
        <w:spacing w:after="0" w:line="269" w:lineRule="auto"/>
        <w:rPr>
          <w:sz w:val="20"/>
          <w:szCs w:val="20"/>
          <w:color w:val="auto"/>
        </w:rPr>
      </w:pPr>
      <w:r>
        <w:rPr>
          <w:rFonts w:ascii="Arial" w:cs="Arial" w:eastAsia="Arial" w:hAnsi="Arial"/>
          <w:sz w:val="17"/>
          <w:szCs w:val="17"/>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may in the future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also generally grant our customers ownership of any custom applications that we develop for them, subject to our continued ownership of our pre-existing intellectual property rights and, in the past, a customer for whom we have developed custom applications has incorrectly alleged that applications we have independently developed infringed the customer’s intellectual property rights.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53" w:name="page54"/>
    <w:bookmarkEnd w:id="53"/>
    <w:p>
      <w:pPr>
        <w:ind w:right="20"/>
        <w:spacing w:after="0" w:line="276" w:lineRule="auto"/>
        <w:rPr>
          <w:sz w:val="20"/>
          <w:szCs w:val="20"/>
          <w:color w:val="auto"/>
        </w:rPr>
      </w:pPr>
      <w:r>
        <w:rPr>
          <w:rFonts w:ascii="Arial" w:cs="Arial" w:eastAsia="Arial" w:hAnsi="Arial"/>
          <w:sz w:val="17"/>
          <w:szCs w:val="17"/>
          <w:color w:val="auto"/>
        </w:rPr>
        <w:t>addition, we have in the past and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173" w:lineRule="exact"/>
        <w:rPr>
          <w:sz w:val="20"/>
          <w:szCs w:val="20"/>
          <w:color w:val="auto"/>
        </w:rPr>
      </w:pPr>
    </w:p>
    <w:p>
      <w:pPr>
        <w:ind w:firstLine="555"/>
        <w:spacing w:after="0" w:line="268" w:lineRule="auto"/>
        <w:rPr>
          <w:sz w:val="20"/>
          <w:szCs w:val="20"/>
          <w:color w:val="auto"/>
        </w:rPr>
      </w:pPr>
      <w:r>
        <w:rPr>
          <w:rFonts w:ascii="Arial" w:cs="Arial" w:eastAsia="Arial" w:hAnsi="Arial"/>
          <w:sz w:val="17"/>
          <w:szCs w:val="17"/>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platform,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platform, and could have a negative impact on our business.</w:t>
      </w:r>
    </w:p>
    <w:p>
      <w:pPr>
        <w:spacing w:after="0" w:line="62"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The future success of our business, and particularly our cloud offering,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platform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78"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platform could suffer.</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for financial accounting purposes is complex and subject to uncertainty, and there may be material differences between our forecasted and actual tax rates.</w:t>
      </w:r>
    </w:p>
    <w:p>
      <w:pPr>
        <w:spacing w:after="0" w:line="62" w:lineRule="exact"/>
        <w:rPr>
          <w:sz w:val="20"/>
          <w:szCs w:val="20"/>
          <w:color w:val="auto"/>
        </w:rPr>
      </w:pPr>
    </w:p>
    <w:p>
      <w:pPr>
        <w:ind w:right="60" w:firstLine="555"/>
        <w:spacing w:after="0" w:line="291" w:lineRule="auto"/>
        <w:rPr>
          <w:sz w:val="20"/>
          <w:szCs w:val="20"/>
          <w:color w:val="auto"/>
        </w:rPr>
      </w:pPr>
      <w:r>
        <w:rPr>
          <w:rFonts w:ascii="Arial" w:cs="Arial" w:eastAsia="Arial" w:hAnsi="Arial"/>
          <w:sz w:val="16"/>
          <w:szCs w:val="16"/>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4" w:name="page55"/>
    <w:bookmarkEnd w:id="54"/>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62"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187"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platform,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platform. Any increased tax burden may decrease our ability or willingness to compete in relatively burdensome tax jurisdictions, result in substantial tax liabilities related to past sales or otherwise harm our business and operating results.</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2016, we had federal and state net operating loss carryforwards, or NOLs, at Appian Corporation of $1.8 million and</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$1.7 million, respectively, available to offset future taxable income, which substantially expire in 2036 if not utilized. A lack of future taxable income would adversely affect our ability to utilize these NOLs before they expire.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or Section 382, imposes limitations on a company’s ability to use NOLs if a company experiences a more-than-50-percent ownership change over a three-year testing period. Based upon our analysis as of December 31, 2016, we have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169"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As of December 31, 2016, we also had federal NOLs at Appian Software Switzerland of $23.7 million, which expire in 2021 through 2023, if unused. If we are limited in our ability to use our NOLs in future years in which we have taxable income, we will pay more taxes than if we were able to fully utilize our NOLs. This could adversely affect our operating results and the market price of our Class A common stock.</w:t>
      </w:r>
    </w:p>
    <w:p>
      <w:pPr>
        <w:spacing w:after="0" w:line="28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laws with respect to our domestic and international operations and non-compliance with such laws can subject us to criminal and/or civil liability and materially harm our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right="40" w:firstLine="8"/>
        <w:spacing w:after="0" w:line="252"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201, the U.S. Travel Act, the United Kingdom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can be held liable for the corrupt or other illegal activities of these third-party representatives, our employees, contractors, and other agents, even if we do not explicitly authorize such activities. In addition, although we have implemented policies and procedures to ensure compliance with anti-corruption laws, there can be no assurance that all of our employees, representatives, contractors, or agents will comply with these laws at all times.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55" w:name="page56"/>
    <w:bookmarkEnd w:id="55"/>
    <w:p>
      <w:pPr>
        <w:ind w:right="80"/>
        <w:spacing w:after="0" w:line="289" w:lineRule="auto"/>
        <w:rPr>
          <w:sz w:val="20"/>
          <w:szCs w:val="20"/>
          <w:color w:val="auto"/>
        </w:rPr>
      </w:pPr>
      <w:r>
        <w:rPr>
          <w:rFonts w:ascii="Arial" w:cs="Arial" w:eastAsia="Arial" w:hAnsi="Arial"/>
          <w:sz w:val="16"/>
          <w:szCs w:val="16"/>
          <w:color w:val="auto"/>
        </w:rPr>
        <w:t>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7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38"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including various economic and trade sanctions including those administered by the Office of Foreign Assets Control, or OFAC, which apply to our business.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88"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Changes in our platform, or changes in applicable export or import laws and regulations may create delays in the introduction and sale of our platform in international markets or, in some cases, prevent the export or import of our platform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platform, or in our decreased ability to export or sell our platform to existing or potential customers. Any decreased use of our services or limitation on our ability to export or sell our services would likely adversely affect our business, financial condition, and results of operations.</w:t>
      </w:r>
    </w:p>
    <w:p>
      <w:pPr>
        <w:spacing w:after="0" w:line="17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We incorporate encryption technology into certain of our products. Encryption products may be exported outside of the United States only with the required export authorization, including by license, license exception or other appropriate government authorization. Obtaining the necessary export license or other authorization for a particular sale may be time-consuming and may result in the delay or loss of sales opportunities.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Although we take precautions to prevent our products from being provided in violation of such laws, our products may have been in the past, and could in the future be, provided inadvertently in violation of such laws, despite the precautions we take. Governmental regulation of encryption technology and regulation of imports or exports, or our failure to obtain required import or export approval for our products, could harm our international sales and adversely affect our revenue.</w:t>
      </w:r>
    </w:p>
    <w:p>
      <w:pPr>
        <w:spacing w:after="0" w:line="179"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Moreover, U.S. export control laws and economic sanctions programs prohibit the provision of services to countries, governments and persons that are subject to U.S. economic embargoes and trade sanctions. Even though we take precautions to prevent our platform from being used by U.S. sanctions targets, our platform could be used by a sanctioned person or in an embargoed country despite such precautions. Any such shipment could have negative consequences, including government investigations, penalties and reputational harm.</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platform fails to function in a manner that allows our customers to operate in compliance with regulations and/or industry standards, our revenue and operating results could be harmed.</w:t>
      </w:r>
    </w:p>
    <w:p>
      <w:pPr>
        <w:spacing w:after="0" w:line="62"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Certain of our customers use our platform to create applications that ensure secure communications given the nature of the content being distributed and associated applicable regulatory requirements. Governmental and other customers may also require our platform to comply with certain privacy, security and other certifications and standards. Our cloud platform holds various security certifications from government agencies and industry organizations, including the Federal Risk and Authorization Management Program compliance, and meets the Payment Card Industry Data Security Standard and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6" w:name="page57"/>
    <w:bookmarkEnd w:id="56"/>
    <w:p>
      <w:pPr>
        <w:ind w:right="20"/>
        <w:spacing w:after="0" w:line="302" w:lineRule="auto"/>
        <w:rPr>
          <w:sz w:val="20"/>
          <w:szCs w:val="20"/>
          <w:color w:val="auto"/>
        </w:rPr>
      </w:pPr>
      <w:r>
        <w:rPr>
          <w:rFonts w:ascii="Arial" w:cs="Arial" w:eastAsia="Arial" w:hAnsi="Arial"/>
          <w:sz w:val="16"/>
          <w:szCs w:val="16"/>
          <w:color w:val="auto"/>
        </w:rPr>
        <w:t>United States Health Insurance Portability and Accountability Act standard. Governments and industry organizations may also adopt new laws, regulations or requirements, or make changes to existing laws or regulations, that could impact the demand for, or value of, our applications. If we fail to maintain our current security certifications and/or to continue to meet security standards, or if we are unable to adapt our platform to changing legal and regulatory standards or other requirements in a timely manner, our customers may lose confidence in our platform and our business could be negatively impacted.</w:t>
      </w:r>
    </w:p>
    <w:p>
      <w:pPr>
        <w:spacing w:after="0" w:line="2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maintain our facility security clearance.</w:t>
      </w:r>
    </w:p>
    <w:p>
      <w:pPr>
        <w:spacing w:after="0" w:line="62"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If and when awarded, certain U.S. government contracts require our employees to maintain various levels of security clearances, and we would be required to maintain our facility security clearance, to comply with Department of Defense, or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maintain our facility security clearance, we may not be able to bid on or win new classified contracts.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lose some or all of your investment.</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The market price of our Class A common stock may be highly volatile and may fluctuate substantially as a result of a variety of factors, some of which are related in complex ways. Since shares of our Class A common stock were sold in our IPO in May 2017 at a price of $12.00 per share, our stock price has ranged from an intraday low of $14.60 to an intraday high of $21.49 through July 31, 2017. Factors that may affect the market price of our Class A common stock include:</w:t>
      </w:r>
    </w:p>
    <w:p>
      <w:pPr>
        <w:sectPr>
          <w:pgSz w:w="11900" w:h="16838" w:orient="portrait"/>
          <w:cols w:equalWidth="0" w:num="1">
            <w:col w:w="11400"/>
          </w:cols>
          <w:pgMar w:left="240" w:top="463" w:right="259" w:bottom="1440" w:gutter="0" w:footer="0" w:header="0"/>
        </w:sectPr>
      </w:pPr>
    </w:p>
    <w:p>
      <w:pPr>
        <w:spacing w:after="0" w:line="18"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ind w:left="560"/>
        <w:spacing w:after="0" w:line="237"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30" w:lineRule="auto"/>
        <w:rPr>
          <w:sz w:val="20"/>
          <w:szCs w:val="20"/>
          <w:color w:val="auto"/>
        </w:rPr>
      </w:pPr>
      <w:r>
        <w:rPr>
          <w:rFonts w:ascii="Arial" w:cs="Arial" w:eastAsia="Arial" w:hAnsi="Arial"/>
          <w:sz w:val="27"/>
          <w:szCs w:val="27"/>
          <w:color w:val="auto"/>
        </w:rPr>
        <w:t>•</w:t>
      </w:r>
    </w:p>
    <w:p>
      <w:pPr>
        <w:ind w:left="560"/>
        <w:spacing w:after="0" w:line="229" w:lineRule="auto"/>
        <w:rPr>
          <w:sz w:val="20"/>
          <w:szCs w:val="20"/>
          <w:color w:val="auto"/>
        </w:rPr>
      </w:pPr>
      <w:r>
        <w:rPr>
          <w:rFonts w:ascii="Arial" w:cs="Arial" w:eastAsia="Arial" w:hAnsi="Arial"/>
          <w:sz w:val="27"/>
          <w:szCs w:val="27"/>
          <w:color w:val="auto"/>
        </w:rPr>
        <w:t>•</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27"/>
          <w:szCs w:val="27"/>
          <w:color w:val="auto"/>
        </w:rPr>
        <w:t>•</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4460"/>
        <w:spacing w:after="0" w:line="344" w:lineRule="auto"/>
        <w:rPr>
          <w:sz w:val="20"/>
          <w:szCs w:val="20"/>
          <w:color w:val="auto"/>
        </w:rPr>
      </w:pPr>
      <w:r>
        <w:rPr>
          <w:rFonts w:ascii="Arial" w:cs="Arial" w:eastAsia="Arial" w:hAnsi="Arial"/>
          <w:sz w:val="18"/>
          <w:szCs w:val="18"/>
          <w:color w:val="auto"/>
        </w:rPr>
        <w:t>actual or anticipated fluctuations in our financial condition and operating results; variance in our financial performance from expectations of securities analysts; changes in the prices of subscriptions to our platform; changes in our projected operating and financial results;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changes in laws or regulations applicable to our platform;</w:t>
      </w:r>
    </w:p>
    <w:p>
      <w:pPr>
        <w:spacing w:after="0" w:line="90" w:lineRule="exact"/>
        <w:rPr>
          <w:sz w:val="20"/>
          <w:szCs w:val="20"/>
          <w:color w:val="auto"/>
        </w:rPr>
      </w:pPr>
    </w:p>
    <w:p>
      <w:pPr>
        <w:ind w:right="2420"/>
        <w:spacing w:after="0" w:line="344" w:lineRule="auto"/>
        <w:rPr>
          <w:sz w:val="20"/>
          <w:szCs w:val="20"/>
          <w:color w:val="auto"/>
        </w:rPr>
      </w:pPr>
      <w:r>
        <w:rPr>
          <w:rFonts w:ascii="Arial" w:cs="Arial" w:eastAsia="Arial" w:hAnsi="Arial"/>
          <w:sz w:val="18"/>
          <w:szCs w:val="18"/>
          <w:color w:val="auto"/>
        </w:rPr>
        <w:t>announcements by us or our competitors of significant business developments, acquisitions or new offerings; our involvement in any litigation;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sale of our Class A common stock or other securities in the future;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senior management or key personnel;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trading volume of our Class A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anticipated future size and growth rate of our market; and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general economic, regulatory and market conditions.</w:t>
      </w:r>
    </w:p>
    <w:p>
      <w:pPr>
        <w:spacing w:after="0" w:line="211" w:lineRule="exact"/>
        <w:rPr>
          <w:sz w:val="20"/>
          <w:szCs w:val="20"/>
          <w:color w:val="auto"/>
        </w:rPr>
      </w:pPr>
    </w:p>
    <w:p>
      <w:pPr>
        <w:sectPr>
          <w:pgSz w:w="11900" w:h="16838" w:orient="portrait"/>
          <w:cols w:equalWidth="0" w:num="2">
            <w:col w:w="660" w:space="460"/>
            <w:col w:w="10280"/>
          </w:cols>
          <w:pgMar w:left="240" w:top="463" w:right="259" w:bottom="1440" w:gutter="0" w:footer="0" w:header="0"/>
          <w:type w:val="continuous"/>
        </w:sectPr>
      </w:pPr>
    </w:p>
    <w:p>
      <w:pPr>
        <w:ind w:right="120" w:firstLine="555"/>
        <w:spacing w:after="0" w:line="297" w:lineRule="auto"/>
        <w:rPr>
          <w:sz w:val="20"/>
          <w:szCs w:val="20"/>
          <w:color w:val="auto"/>
        </w:rPr>
      </w:pPr>
      <w:r>
        <w:rPr>
          <w:rFonts w:ascii="Arial" w:cs="Arial" w:eastAsia="Arial" w:hAnsi="Arial"/>
          <w:sz w:val="16"/>
          <w:szCs w:val="16"/>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may not continue to develop or be sustained.</w:t>
      </w:r>
    </w:p>
    <w:p>
      <w:pPr>
        <w:spacing w:after="0" w:line="117"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Prior to the completion of our IPO in May 2017, no public market for our Class A common stock existed. An active public trading market for our Class A common stock may not continue to develop or be sustained. The lack of an active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type w:val="continuous"/>
        </w:sectPr>
      </w:pPr>
    </w:p>
    <w:bookmarkStart w:id="57" w:name="page58"/>
    <w:bookmarkEnd w:id="57"/>
    <w:p>
      <w:pPr>
        <w:ind w:right="120"/>
        <w:spacing w:after="0" w:line="312" w:lineRule="auto"/>
        <w:rPr>
          <w:sz w:val="20"/>
          <w:szCs w:val="20"/>
          <w:color w:val="auto"/>
        </w:rPr>
      </w:pPr>
      <w:r>
        <w:rPr>
          <w:rFonts w:ascii="Arial" w:cs="Arial" w:eastAsia="Arial" w:hAnsi="Arial"/>
          <w:sz w:val="16"/>
          <w:szCs w:val="16"/>
          <w:color w:val="auto"/>
        </w:rPr>
        <w:t>market may impair your ability to sell your shares of Class A common stock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129" w:lineRule="exact"/>
        <w:rPr>
          <w:sz w:val="20"/>
          <w:szCs w:val="20"/>
          <w:color w:val="auto"/>
        </w:rPr>
      </w:pPr>
    </w:p>
    <w:p>
      <w:pPr>
        <w:ind w:right="340" w:firstLine="555"/>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66" w:lineRule="exact"/>
        <w:rPr>
          <w:sz w:val="20"/>
          <w:szCs w:val="20"/>
          <w:color w:val="auto"/>
        </w:rPr>
      </w:pPr>
    </w:p>
    <w:p>
      <w:pPr>
        <w:ind w:right="180" w:firstLine="555"/>
        <w:spacing w:after="0" w:line="255" w:lineRule="auto"/>
        <w:rPr>
          <w:sz w:val="20"/>
          <w:szCs w:val="20"/>
          <w:color w:val="auto"/>
        </w:rPr>
      </w:pPr>
      <w:r>
        <w:rPr>
          <w:rFonts w:ascii="Arial" w:cs="Arial" w:eastAsia="Arial" w:hAnsi="Arial"/>
          <w:sz w:val="18"/>
          <w:szCs w:val="18"/>
          <w:color w:val="auto"/>
        </w:rPr>
        <w:t>All of our executive officers, senior management, directors and substantially all of the holders of our capital stock are subject to lock-up agreements that restrict their ability to transfer shares of our capital stock for 180 days from May 24, 2017. These lock-up agreements limit the number of shares of capital stock that may be sold immediately following our IPO. Subject to certain limitations, 52,437,876 shares of Class A common stock issuable upon conversion of outstanding Class B common stock will become eligible for sale upon expiration of the 180-day lock-up period. Morgan Stanley &amp; Co. LLC and Goldman Sachs &amp; Co. LLC may, in their sole discretion, permit our stockholders who are subject to these lock-up agreements to sell shares prior to the expiration of the lock-up agreements.</w:t>
      </w:r>
    </w:p>
    <w:p>
      <w:pPr>
        <w:spacing w:after="0" w:line="193"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In addition, as of June 30, 2017, there were 7,581,688 shares of Class B common stock subject to outstanding options. We have registered all of the shares of Class A common stock issuable upon conversion of the shares of Class B common stock issuable upon exercise of outstanding options, and upon exercise of settlement of any options or other equity incentives we may grant in the future, for public resale under the Securities Act of 1933, as amended, or the Securities Act. Accordingly, these shares may be freely sold in the public market upon issuance as permitted by any applicable vesting requirements, subject to the lock-up agreements described above. The shares of Class A common stock issuable upon conversion of these shares will become eligible for sale in the public market to the extent such options are exercised, subject to the lock-up agreements described above and compliance with applicable securities laws.</w:t>
      </w:r>
    </w:p>
    <w:p>
      <w:pPr>
        <w:spacing w:after="0" w:line="189"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June 30, 2017, holders of approximately 18 million shares of Class B common stock have rights, subject to some conditions, to require us to file registration statements for the public resale of the Class A common stock issuable upon conversion of such shares or to include such shares in registration statements that we may file for ourselves or other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shares of our Class A common stock by a single large stockholder could cause the market price of our Class A common stock to decline.</w:t>
      </w:r>
    </w:p>
    <w:p>
      <w:pPr>
        <w:spacing w:after="0" w:line="140"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A significant percentage of our publicly traded Class A common stock is held by several institutions. Should any one of those institutions elect to sell all or a significant portion of its shares of our Class A common stock, the market price of our Class A common stock and our ability to raise capital through the sale of additional equity securities could be negatively affected. We cannot predict the effect that such a sale may have on the prevailing market price of our Class A common stock.</w:t>
      </w:r>
    </w:p>
    <w:p>
      <w:pPr>
        <w:spacing w:after="0" w:line="295"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The dual class structure of our common stock and the existing ownership of capital stock by Matthew Calkins, our founder and Chief Executive Officer, has the effect of concentrating voting control with Mr. Calkins for the foreseeable future, which will limit your ability to influence corporate matters.</w:t>
      </w:r>
    </w:p>
    <w:p>
      <w:pPr>
        <w:spacing w:after="0" w:line="1"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Given the greater number of votes per share attributed to our Class B common stock, our Class B stockholders collectively beneficially own shares representing approximately 99% of the voting power of our outstanding capital stock. Further, Mr. Calkins, our founder and Chief Executive Officer, together with his affiliates, collectively beneficially own shares representing approximately 54% of the voting power of our outstanding capital stock. Consequently, Mr. Calkins, together with his affiliates, is able to control a majority of the voting power even if their stock holdings represent as few as approximately 45% of the outstanding number of shares of our common stock. This concentrated control will limit your ability to influence corporate matters for the foreseeable future. For example, Mr. Calkins will be able to control elections of directors, amendments of our certificate of incorporation or bylaws, increases to the number of shares available for issuance under our equity incentive plans or adoption of new equity incentive plans and approval of any merger or sale of assets for the foreseeable future. This concentrated control could also discourage a potential investor from acquiring our Class A common stock due to the limited voting power of such stock relative to the Class B common stock and might harm the market price of our Class A common stock. In addition, Mr. Calkins has the ability to control the management and major strategic</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8" w:name="page59"/>
    <w:bookmarkEnd w:id="58"/>
    <w:p>
      <w:pPr>
        <w:ind w:right="20"/>
        <w:spacing w:after="0" w:line="279" w:lineRule="auto"/>
        <w:rPr>
          <w:sz w:val="20"/>
          <w:szCs w:val="20"/>
          <w:color w:val="auto"/>
        </w:rPr>
      </w:pPr>
      <w:r>
        <w:rPr>
          <w:rFonts w:ascii="Arial" w:cs="Arial" w:eastAsia="Arial" w:hAnsi="Arial"/>
          <w:sz w:val="17"/>
          <w:szCs w:val="17"/>
          <w:color w:val="auto"/>
        </w:rPr>
        <w:t>investments of our company as a result of his position as our Chief Executive Officer and his ability to control the election or replacement of our directors. As a board member and officer, Mr. Calkins owes a fiduciary duty to our stockholders and must act in good faith in a manner he reasonably believes to be in the best interests of our stockholders. However, as a stockholder, even a controlling stockholder, Mr. Calkins is entitled to vote his shares, and shares over which he has voting control, in his own interests, which may not always be in the interests of our stockholders generally.</w:t>
      </w:r>
    </w:p>
    <w:p>
      <w:pPr>
        <w:spacing w:after="0" w:line="171"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Future transfers by Mr. Calkins and other holders of Class B common stock will generally result in those shares converting on a 1:1 basis to Class A common stock, which will have the effect, over time, of increasing the relative voting power of those holders of Class B common stock who retain their shares in the long-term.</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not elected to take advantage of the “controlled company” exemption to the corporate governance rules for publicly-listed companies but may do so in the future.</w:t>
      </w:r>
    </w:p>
    <w:p>
      <w:pPr>
        <w:spacing w:after="0" w:line="62"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Because our Chief Executive Officer, Mr. Calkins, owns in excess of 50% of the voting power of our outstanding capital stock, we are eligible to elect the “controlled company” exemption to the corporate governance rules for publicly-listed companies. We have not elected to do so. If we decide to become a “controlled company” under the corporate governance rules for publicly-listed companies, we would not be required to have a majority of our board of directors be independent, nor would we be required to have a compensation committee or an independent nominating function. If we chose controlled company status in the future, our status as a controlled company could cause our Class A common stock to be less attractive to certain investors or otherwise harm our trading price.</w:t>
      </w:r>
    </w:p>
    <w:p>
      <w:pPr>
        <w:spacing w:after="0" w:line="3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62"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We do not have any control over these analysts. If our financial performance fails to meet analyst estimates or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9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2"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color w:val="auto"/>
        </w:rPr>
        <w:t>We have never declared or paid any cash dividends on our common stock and we do not intend to pay any cash dividends in the foreseeable future. Although we paid a cash dividend of $7.6 million in connection with the conversion of our Series A preferred stock to Class B common stock immediately prior to the closing of the IPO, which was agreed to at the time of the original issuance of the Series A preferred stock,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or spend the proceeds of our IPO in ways with which you may not agree or in ways which may not yield a return.</w:t>
      </w:r>
    </w:p>
    <w:p>
      <w:pPr>
        <w:spacing w:after="0" w:line="117"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We used $27.6 million of the net proceeds from our IPO to pay all remaining outstanding principal and interest under our term loan facility with Silicon Valley Bank and to pay a cash dividend to the holders of our Series A preferred stock that was payable upon the conversion of our Series A preferred stock to Class B common stock, which conversion occurred immediately prior to the closing of the IPO. We anticipate that the remaining net proceeds from our IPO will be used for working capital and other general corporate purposes. We may also use a portion of the remaining net proceeds to acquire complementary businesses, products or technologies. However, we do not have any agreements or commitments for any acquisitions at this time. Our management will have considerable discretion in the application of the remaining net proceeds, and you will not have the opportunity, as part of your investment decision, to assess whether the proceeds are being used effectively. The remaining net proceeds may be invested with a view towards long-term benefits for our stockholders and this may not increase our operating results or market value. The failure by our management to apply these funds effectively may adversely affect the return on your investment.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9" w:name="page60"/>
    <w:bookmarkEnd w:id="59"/>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70"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89"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2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r>
        <w:rPr>
          <w:rFonts w:ascii="Arial" w:cs="Arial" w:eastAsia="Arial" w:hAnsi="Arial"/>
          <w:sz w:val="18"/>
          <w:szCs w:val="18"/>
          <w:i w:val="1"/>
          <w:iCs w:val="1"/>
          <w:color w:val="auto"/>
        </w:rPr>
        <w:t>.</w:t>
      </w:r>
    </w:p>
    <w:p>
      <w:pPr>
        <w:spacing w:after="0" w:line="62"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As a newly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287"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6"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will be required, pursuant to Section 404 of the Sarbanes-Oxley Act, or Section 404, to furnish a report by management on, among other things, the effectiveness of our internal control over financial reporting for the year ending December 31, 2018.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93" w:lineRule="exact"/>
        <w:rPr>
          <w:sz w:val="20"/>
          <w:szCs w:val="20"/>
          <w:color w:val="auto"/>
        </w:rPr>
      </w:pPr>
    </w:p>
    <w:p>
      <w:pPr>
        <w:ind w:right="120" w:firstLine="555"/>
        <w:spacing w:after="0" w:line="297" w:lineRule="auto"/>
        <w:rPr>
          <w:sz w:val="20"/>
          <w:szCs w:val="20"/>
          <w:color w:val="auto"/>
        </w:rPr>
      </w:pPr>
      <w:r>
        <w:rPr>
          <w:rFonts w:ascii="Arial" w:cs="Arial" w:eastAsia="Arial" w:hAnsi="Arial"/>
          <w:sz w:val="16"/>
          <w:szCs w:val="16"/>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58"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60" w:name="page61"/>
    <w:bookmarkEnd w:id="60"/>
    <w:p>
      <w:pPr>
        <w:ind w:right="180"/>
        <w:spacing w:after="0" w:line="276" w:lineRule="auto"/>
        <w:rPr>
          <w:sz w:val="20"/>
          <w:szCs w:val="20"/>
          <w:color w:val="auto"/>
        </w:rPr>
      </w:pPr>
      <w:r>
        <w:rPr>
          <w:rFonts w:ascii="Arial" w:cs="Arial" w:eastAsia="Arial" w:hAnsi="Arial"/>
          <w:sz w:val="17"/>
          <w:szCs w:val="17"/>
          <w:color w:val="auto"/>
        </w:rPr>
        <w:t>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Class A common stock.</w:t>
      </w:r>
    </w:p>
    <w:p>
      <w:pPr>
        <w:spacing w:after="0" w:line="16" w:lineRule="exact"/>
        <w:rPr>
          <w:sz w:val="20"/>
          <w:szCs w:val="20"/>
          <w:color w:val="auto"/>
        </w:rPr>
      </w:pPr>
    </w:p>
    <w:p>
      <w:pPr>
        <w:ind w:right="140" w:firstLine="555"/>
        <w:spacing w:after="0" w:line="289" w:lineRule="auto"/>
        <w:rPr>
          <w:sz w:val="20"/>
          <w:szCs w:val="20"/>
          <w:color w:val="auto"/>
        </w:rPr>
      </w:pPr>
      <w:r>
        <w:rPr>
          <w:rFonts w:ascii="Arial" w:cs="Arial" w:eastAsia="Arial" w:hAnsi="Arial"/>
          <w:sz w:val="16"/>
          <w:szCs w:val="16"/>
          <w:color w:val="auto"/>
        </w:rPr>
        <w:t>In addition to the effects of our dual class structure, 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and limit the market price of our Class A common stock.</w:t>
      </w:r>
    </w:p>
    <w:p>
      <w:pPr>
        <w:spacing w:after="0" w:line="73"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Pursuant to our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amended and restated certificate of incorporation or our amended and restated bylaws or (4) any action asserting a claim governed by the internal affairs doctrine. Our amended and restated certificate of incorporation also provides that the federal district courts of the United States of America will be the exclusive forum for resolving any complaint asserting a cause of action arising under the Securities Act. Our amended and restated certificate of incorporation further provides that any person or entity purchasing or otherwise acquiring any interest in shares of our Class A common stock is deemed to have notice of and consented to the foregoing provisions. The forum selection clause in our amended and restated certificate of incorporation may limit our stockholders’ ability to obtain a favorable judicial forum for disputes with us and limit the market price of our Class A common stock</w:t>
      </w:r>
      <w:r>
        <w:rPr>
          <w:rFonts w:ascii="Arial" w:cs="Arial" w:eastAsia="Arial" w:hAnsi="Arial"/>
          <w:sz w:val="17"/>
          <w:szCs w:val="17"/>
          <w:i w:val="1"/>
          <w:iCs w:val="1"/>
          <w:color w:val="auto"/>
        </w:rPr>
        <w:t>.</w:t>
      </w:r>
    </w:p>
    <w:p>
      <w:pPr>
        <w:spacing w:after="0" w:line="28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17"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Recent Sales of Unregistered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upon Exercise of Warrants</w:t>
      </w:r>
    </w:p>
    <w:p>
      <w:pPr>
        <w:spacing w:after="0" w:line="117"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On May 26, 2017, a holder net exercised a warrant, resulting in the issuance of 79,363 shares of Class B common stock. The issuance of such shares of Class B common stock was exempt from registration under Section 3(a)(9) of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61" w:name="page62"/>
    <w:bookmarkEnd w:id="61"/>
    <w:p>
      <w:pPr>
        <w:ind w:left="560" w:hanging="552"/>
        <w:spacing w:after="0"/>
        <w:tabs>
          <w:tab w:leader="none" w:pos="5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On May 31, 2017, we closed our IPO of 7,187,500 shares of our Class A common stock at an offering price of $12.00 per share, including 937,500 shares pursuant to the underwriters’ option to purchase additional Class A shares, resulting in gross proceeds to us of $86.3 million. All of the shares issued and sold in our IPO were registered under the Securities Act pursuant to a registration statement on Form S-1 (File No. 333-217510), which was declared effective by the SEC on May 24, 2017. Morgan Stanley &amp; Co. LLC, Goldman Sachs &amp; Co. LLC, Barclays Capital Inc., Pacific Crest Securities, a division of KeyBanc Capital Markets Inc., Canaccord Genuity Inc. and Cowen and Company, LLC acted as underwriters for the offering. The offering commenced on May 24, 2017 and did not terminate before all of the securities registered in the registration statement were sold.</w:t>
      </w:r>
    </w:p>
    <w:p>
      <w:pPr>
        <w:spacing w:after="0" w:line="178"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The net proceeds to us, after deducting underwriting discounts and commissions of $6.0 million and offering expenses of $2.4 million, were $77.8 million. No offering expenses were paid directly or indirectly to any of our directors or officers (or their associates) or persons owning ten percent or more of any class of our equity securities or to any other affiliates. Using the proceeds from the IPO, on June 9, 2017, we repaid in full the $20.0 million principal amount of borrowings under our senior term loan. There has been no material change in the planned use of proceeds from our IPO from those disclosed in the final prospectus for our IPO dated as of May 24, 2017 and filed with the SEC pursuant to Rule 424(b)(4).</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June 30, 2017, $1.3 million of expenses incurred in connection with our IPO had not yet been paid.</w:t>
      </w:r>
    </w:p>
    <w:p>
      <w:pPr>
        <w:spacing w:after="0" w:line="329" w:lineRule="exact"/>
        <w:rPr>
          <w:sz w:val="20"/>
          <w:szCs w:val="20"/>
          <w:color w:val="auto"/>
        </w:rPr>
      </w:pPr>
    </w:p>
    <w:p>
      <w:pPr>
        <w:ind w:left="560" w:right="7980" w:hanging="552"/>
        <w:spacing w:after="0" w:line="407" w:lineRule="auto"/>
        <w:tabs>
          <w:tab w:leader="none" w:pos="55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Not applicable.</w:t>
      </w:r>
    </w:p>
    <w:p>
      <w:pPr>
        <w:spacing w:after="0" w:line="16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5" w:right="27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gridSpan w:val="3"/>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55"/>
        </w:trPr>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3.1</w:t>
            </w:r>
            <w:r>
              <w:rPr>
                <w:rFonts w:ascii="Arial" w:cs="Arial" w:eastAsia="Arial" w:hAnsi="Arial"/>
                <w:sz w:val="15"/>
                <w:szCs w:val="15"/>
                <w:color w:val="auto"/>
              </w:rPr>
              <w:t>(1)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Certificate of Incorporation of Appian Corporation.</w:t>
            </w:r>
          </w:p>
        </w:tc>
        <w:tc>
          <w:tcPr>
            <w:tcW w:w="0" w:type="dxa"/>
            <w:vAlign w:val="bottom"/>
          </w:tcPr>
          <w:p>
            <w:pPr>
              <w:spacing w:after="0"/>
              <w:rPr>
                <w:sz w:val="1"/>
                <w:szCs w:val="1"/>
                <w:color w:val="auto"/>
              </w:rPr>
            </w:pPr>
          </w:p>
        </w:tc>
      </w:tr>
      <w:tr>
        <w:trPr>
          <w:trHeight w:val="324"/>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Bylaws of Appian Corporation.</w:t>
            </w:r>
          </w:p>
        </w:tc>
        <w:tc>
          <w:tcPr>
            <w:tcW w:w="0" w:type="dxa"/>
            <w:vAlign w:val="bottom"/>
          </w:tcPr>
          <w:p>
            <w:pPr>
              <w:spacing w:after="0"/>
              <w:rPr>
                <w:sz w:val="1"/>
                <w:szCs w:val="1"/>
                <w:color w:val="auto"/>
              </w:rPr>
            </w:pPr>
          </w:p>
        </w:tc>
      </w:tr>
      <w:tr>
        <w:trPr>
          <w:trHeight w:val="324"/>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Class A common stock certificate of Appian Corporation.</w:t>
            </w:r>
          </w:p>
        </w:tc>
        <w:tc>
          <w:tcPr>
            <w:tcW w:w="0" w:type="dxa"/>
            <w:vAlign w:val="bottom"/>
          </w:tcPr>
          <w:p>
            <w:pPr>
              <w:spacing w:after="0"/>
              <w:rPr>
                <w:sz w:val="1"/>
                <w:szCs w:val="1"/>
                <w:color w:val="auto"/>
              </w:rPr>
            </w:pPr>
          </w:p>
        </w:tc>
      </w:tr>
      <w:tr>
        <w:trPr>
          <w:trHeight w:val="324"/>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2017 Equity Incentive Plan and Forms of Stock Option Agreement, Notice of Exercise and Stock Option Grant Notice thereunder.</w:t>
            </w:r>
          </w:p>
        </w:tc>
        <w:tc>
          <w:tcPr>
            <w:tcW w:w="0" w:type="dxa"/>
            <w:vAlign w:val="bottom"/>
          </w:tcPr>
          <w:p>
            <w:pPr>
              <w:spacing w:after="0"/>
              <w:rPr>
                <w:sz w:val="1"/>
                <w:szCs w:val="1"/>
                <w:color w:val="auto"/>
              </w:rPr>
            </w:pPr>
          </w:p>
        </w:tc>
      </w:tr>
      <w:tr>
        <w:trPr>
          <w:trHeight w:val="324"/>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Non-Employee Director Compensation Plan.</w:t>
            </w:r>
          </w:p>
        </w:tc>
        <w:tc>
          <w:tcPr>
            <w:tcW w:w="0" w:type="dxa"/>
            <w:vAlign w:val="bottom"/>
          </w:tcPr>
          <w:p>
            <w:pPr>
              <w:spacing w:after="0"/>
              <w:rPr>
                <w:sz w:val="1"/>
                <w:szCs w:val="1"/>
                <w:color w:val="auto"/>
              </w:rPr>
            </w:pPr>
          </w:p>
        </w:tc>
      </w:tr>
      <w:tr>
        <w:trPr>
          <w:trHeight w:val="310"/>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(6)</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Amended and Restated Employment Agreement, dated as of April 17, 2017 by and between Appian Corporation and each of</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Mark Lynch and Christopher Winters.</w:t>
            </w:r>
          </w:p>
        </w:tc>
        <w:tc>
          <w:tcPr>
            <w:tcW w:w="0" w:type="dxa"/>
            <w:vAlign w:val="bottom"/>
          </w:tcPr>
          <w:p>
            <w:pPr>
              <w:spacing w:after="0"/>
              <w:rPr>
                <w:sz w:val="1"/>
                <w:szCs w:val="1"/>
                <w:color w:val="auto"/>
              </w:rPr>
            </w:pPr>
          </w:p>
        </w:tc>
      </w:tr>
      <w:tr>
        <w:trPr>
          <w:trHeight w:val="297"/>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Subordinated Loan and Security Agreement, dated as of April 25, 2017, by and between Appian Corporation and Silicon Valley Bank.</w:t>
            </w:r>
          </w:p>
        </w:tc>
        <w:tc>
          <w:tcPr>
            <w:tcW w:w="0" w:type="dxa"/>
            <w:vAlign w:val="bottom"/>
          </w:tcPr>
          <w:p>
            <w:pPr>
              <w:spacing w:after="0"/>
              <w:rPr>
                <w:sz w:val="1"/>
                <w:szCs w:val="1"/>
                <w:color w:val="auto"/>
              </w:rPr>
            </w:pPr>
          </w:p>
        </w:tc>
      </w:tr>
      <w:tr>
        <w:trPr>
          <w:trHeight w:val="323"/>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0"/>
        </w:trPr>
        <w:tc>
          <w:tcPr>
            <w:tcW w:w="1000" w:type="dxa"/>
            <w:vAlign w:val="bottom"/>
          </w:tcPr>
          <w:p>
            <w:pPr>
              <w:jc w:val="right"/>
              <w:ind w:right="412"/>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0"/>
        </w:trPr>
        <w:tc>
          <w:tcPr>
            <w:tcW w:w="1000" w:type="dxa"/>
            <w:vAlign w:val="bottom"/>
          </w:tcPr>
          <w:p>
            <w:pPr>
              <w:jc w:val="right"/>
              <w:ind w:right="312"/>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Certifications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449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0"/>
          <w:szCs w:val="20"/>
          <w:color w:val="auto"/>
        </w:rPr>
      </w:pPr>
    </w:p>
    <w:p>
      <w:pPr>
        <w:ind w:left="560" w:right="420" w:hanging="552"/>
        <w:spacing w:after="0" w:line="258" w:lineRule="auto"/>
        <w:tabs>
          <w:tab w:leader="none" w:pos="5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Previously filed as Exhibit 3.2 to Amendment No. 3 to the Company’s Registration Statement on Form S-1 (File No. 333-217510), filed with the Securities and Exchange Commission on May 12, 2017, and incorporated herein by reference.</w:t>
      </w:r>
    </w:p>
    <w:p>
      <w:pPr>
        <w:spacing w:after="0" w:line="1" w:lineRule="exact"/>
        <w:rPr>
          <w:rFonts w:ascii="Arial" w:cs="Arial" w:eastAsia="Arial" w:hAnsi="Arial"/>
          <w:sz w:val="15"/>
          <w:szCs w:val="15"/>
          <w:color w:val="auto"/>
        </w:rPr>
      </w:pPr>
    </w:p>
    <w:p>
      <w:pPr>
        <w:ind w:left="560" w:right="420" w:hanging="552"/>
        <w:spacing w:after="0" w:line="250" w:lineRule="auto"/>
        <w:tabs>
          <w:tab w:leader="none" w:pos="5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Previously filed as Exhibit 3.4 to Amendment No. 2 to the Company’s Registration Statement on Form S-1 (File No. 333-217510), filed with the Securities and Exchange Commission on May 10, 2017, and incorporated herein by reference.</w:t>
      </w:r>
    </w:p>
    <w:p>
      <w:pPr>
        <w:ind w:left="560" w:right="380" w:hanging="552"/>
        <w:spacing w:after="0" w:line="250" w:lineRule="auto"/>
        <w:tabs>
          <w:tab w:leader="none" w:pos="5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Previously filed as Exhibit 4.1 to Amendment No. 3 to the Registrant’s Registration Statement on Form S-1 (File No. 333-217510), filed with the Securities and Exchange Commission on May 12, 2017, and incorporated herein by reference.</w:t>
      </w:r>
    </w:p>
    <w:p>
      <w:pPr>
        <w:ind w:left="560" w:right="300" w:hanging="552"/>
        <w:spacing w:after="0" w:line="250" w:lineRule="auto"/>
        <w:tabs>
          <w:tab w:leader="none" w:pos="5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Previously filed as Exhibit 10.2 to Amendment No. 2 to the Registrant’s Registration Statement on Form S-1 (File No. 333-217510), filed with the Securities and Exchange Commission on May 10, 2017, and incorporated herein by reference.</w:t>
      </w:r>
    </w:p>
    <w:p>
      <w:pPr>
        <w:ind w:left="560" w:right="300" w:hanging="552"/>
        <w:spacing w:after="0" w:line="250" w:lineRule="auto"/>
        <w:tabs>
          <w:tab w:leader="none" w:pos="5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Previously filed as Exhibit 10.3 to Amendment No. 3 to the Registrant’s Registration Statement on Form S-1 (File No. 333-217510), filed with the Securities and Exchange Commission on May 12, 2017, and incorporated herein by reference.</w:t>
      </w:r>
    </w:p>
    <w:p>
      <w:pPr>
        <w:ind w:left="560" w:right="40" w:hanging="552"/>
        <w:spacing w:after="0" w:line="250" w:lineRule="auto"/>
        <w:tabs>
          <w:tab w:leader="none" w:pos="5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Previously filed as Exhibit 10.7 to the Registrant’s Registration Statement on Form S-1 (File No. 333-217510), filed with the Securities and Exchange Commission on April 27, 2017, and incorporated herein by reference.</w:t>
      </w:r>
    </w:p>
    <w:p>
      <w:pPr>
        <w:ind w:left="560" w:hanging="552"/>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Previously filed as Exhibit 10.10 to Amendment No. 1 to the Registrant’s Registration Statement on Form S-1 (File No. 333-217510), filed with the</w:t>
      </w:r>
    </w:p>
    <w:p>
      <w:pPr>
        <w:spacing w:after="0" w:line="234" w:lineRule="exact"/>
        <w:rPr>
          <w:sz w:val="20"/>
          <w:szCs w:val="20"/>
          <w:color w:val="auto"/>
        </w:rPr>
      </w:pPr>
    </w:p>
    <w:p>
      <w:pPr>
        <w:ind w:left="560" w:hanging="552"/>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60" w:right="20" w:hanging="552"/>
        <w:spacing w:after="0" w:line="255"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63" w:name="page64"/>
    <w:bookmarkEnd w:id="63"/>
    <w:p>
      <w:pPr>
        <w:jc w:val="center"/>
        <w:ind w:right="-5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APPIAN CORPORATION</w:t>
      </w:r>
    </w:p>
    <w:p>
      <w:pPr>
        <w:spacing w:after="0" w:line="252" w:lineRule="exact"/>
        <w:rPr>
          <w:sz w:val="20"/>
          <w:szCs w:val="20"/>
          <w:color w:val="auto"/>
        </w:rPr>
      </w:pPr>
    </w:p>
    <w:p>
      <w:pPr>
        <w:spacing w:after="0"/>
        <w:tabs>
          <w:tab w:leader="none" w:pos="4560" w:val="left"/>
          <w:tab w:leader="none" w:pos="514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Calkins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14605</wp:posOffset>
            </wp:positionV>
            <wp:extent cx="39789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Matthew Calkins</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(On behalf of the Registrant and as Principal Executive Officer)</w:t>
      </w:r>
    </w:p>
    <w:p>
      <w:pPr>
        <w:spacing w:after="0" w:line="200" w:lineRule="exact"/>
        <w:rPr>
          <w:sz w:val="20"/>
          <w:szCs w:val="20"/>
          <w:color w:val="auto"/>
        </w:r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240" w:top="351" w:right="8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Exhibit</w:t>
            </w:r>
          </w:p>
        </w:tc>
        <w:tc>
          <w:tcPr>
            <w:tcW w:w="100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8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w:t>
            </w:r>
          </w:p>
        </w:tc>
        <w:tc>
          <w:tcPr>
            <w:tcW w:w="10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6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rPr>
              <w:t>3.1</w:t>
            </w:r>
            <w:r>
              <w:rPr>
                <w:rFonts w:ascii="Arial" w:cs="Arial" w:eastAsia="Arial" w:hAnsi="Arial"/>
                <w:sz w:val="15"/>
                <w:szCs w:val="15"/>
                <w:color w:val="auto"/>
              </w:rPr>
              <w:t>(1)</w:t>
            </w:r>
          </w:p>
        </w:tc>
        <w:tc>
          <w:tcPr>
            <w:tcW w:w="1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Certificate of Incorporation of Appian Corporation.</w:t>
            </w:r>
          </w:p>
        </w:tc>
        <w:tc>
          <w:tcPr>
            <w:tcW w:w="0" w:type="dxa"/>
            <w:vAlign w:val="bottom"/>
          </w:tcPr>
          <w:p>
            <w:pPr>
              <w:spacing w:after="0"/>
              <w:rPr>
                <w:sz w:val="1"/>
                <w:szCs w:val="1"/>
                <w:color w:val="auto"/>
              </w:rPr>
            </w:pPr>
          </w:p>
        </w:tc>
      </w:tr>
      <w:tr>
        <w:trPr>
          <w:trHeight w:val="324"/>
        </w:trPr>
        <w:tc>
          <w:tcPr>
            <w:tcW w:w="1260" w:type="dxa"/>
            <w:vAlign w:val="bottom"/>
          </w:tcPr>
          <w:p>
            <w:pPr>
              <w:jc w:val="right"/>
              <w:ind w:right="572"/>
              <w:spacing w:after="0"/>
              <w:rPr>
                <w:sz w:val="20"/>
                <w:szCs w:val="20"/>
                <w:color w:val="auto"/>
              </w:rPr>
            </w:pPr>
            <w:r>
              <w:rPr>
                <w:rFonts w:ascii="Arial" w:cs="Arial" w:eastAsia="Arial" w:hAnsi="Arial"/>
                <w:sz w:val="18"/>
                <w:szCs w:val="18"/>
                <w:color w:val="auto"/>
              </w:rPr>
              <w:t>3.2</w:t>
            </w:r>
            <w:r>
              <w:rPr>
                <w:rFonts w:ascii="Arial" w:cs="Arial" w:eastAsia="Arial" w:hAnsi="Arial"/>
                <w:sz w:val="15"/>
                <w:szCs w:val="15"/>
                <w:color w:val="auto"/>
              </w:rPr>
              <w:t>(2)</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Amended and Restated Bylaws of Appian Corporation.</w:t>
            </w:r>
          </w:p>
        </w:tc>
        <w:tc>
          <w:tcPr>
            <w:tcW w:w="0" w:type="dxa"/>
            <w:vAlign w:val="bottom"/>
          </w:tcPr>
          <w:p>
            <w:pPr>
              <w:spacing w:after="0"/>
              <w:rPr>
                <w:sz w:val="1"/>
                <w:szCs w:val="1"/>
                <w:color w:val="auto"/>
              </w:rPr>
            </w:pPr>
          </w:p>
        </w:tc>
      </w:tr>
      <w:tr>
        <w:trPr>
          <w:trHeight w:val="324"/>
        </w:trPr>
        <w:tc>
          <w:tcPr>
            <w:tcW w:w="1260" w:type="dxa"/>
            <w:vAlign w:val="bottom"/>
          </w:tcPr>
          <w:p>
            <w:pPr>
              <w:jc w:val="right"/>
              <w:ind w:right="572"/>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(3)</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Class A common stock certificate of Appian Corporation.</w:t>
            </w:r>
          </w:p>
        </w:tc>
        <w:tc>
          <w:tcPr>
            <w:tcW w:w="0" w:type="dxa"/>
            <w:vAlign w:val="bottom"/>
          </w:tcPr>
          <w:p>
            <w:pPr>
              <w:spacing w:after="0"/>
              <w:rPr>
                <w:sz w:val="1"/>
                <w:szCs w:val="1"/>
                <w:color w:val="auto"/>
              </w:rPr>
            </w:pPr>
          </w:p>
        </w:tc>
      </w:tr>
      <w:tr>
        <w:trPr>
          <w:trHeight w:val="324"/>
        </w:trPr>
        <w:tc>
          <w:tcPr>
            <w:tcW w:w="1260" w:type="dxa"/>
            <w:vAlign w:val="bottom"/>
          </w:tcPr>
          <w:p>
            <w:pPr>
              <w:jc w:val="right"/>
              <w:ind w:right="572"/>
              <w:spacing w:after="0"/>
              <w:rPr>
                <w:sz w:val="20"/>
                <w:szCs w:val="20"/>
                <w:color w:val="auto"/>
              </w:rPr>
            </w:pPr>
            <w:r>
              <w:rPr>
                <w:rFonts w:ascii="Arial" w:cs="Arial" w:eastAsia="Arial" w:hAnsi="Arial"/>
                <w:sz w:val="18"/>
                <w:szCs w:val="18"/>
                <w:color w:val="auto"/>
              </w:rPr>
              <w:t>10.1</w:t>
            </w:r>
            <w:r>
              <w:rPr>
                <w:rFonts w:ascii="Arial" w:cs="Arial" w:eastAsia="Arial" w:hAnsi="Arial"/>
                <w:sz w:val="15"/>
                <w:szCs w:val="15"/>
                <w:color w:val="auto"/>
              </w:rPr>
              <w:t>(4)</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7"/>
              </w:rPr>
              <w:t>2017 Equity Incentive Plan and Forms of Stock Option Agreement, Notice of Exercise and Stock Option Grant Notice thereunder.</w:t>
            </w:r>
          </w:p>
        </w:tc>
        <w:tc>
          <w:tcPr>
            <w:tcW w:w="0" w:type="dxa"/>
            <w:vAlign w:val="bottom"/>
          </w:tcPr>
          <w:p>
            <w:pPr>
              <w:spacing w:after="0"/>
              <w:rPr>
                <w:sz w:val="1"/>
                <w:szCs w:val="1"/>
                <w:color w:val="auto"/>
              </w:rPr>
            </w:pPr>
          </w:p>
        </w:tc>
      </w:tr>
      <w:tr>
        <w:trPr>
          <w:trHeight w:val="324"/>
        </w:trPr>
        <w:tc>
          <w:tcPr>
            <w:tcW w:w="1260" w:type="dxa"/>
            <w:vAlign w:val="bottom"/>
          </w:tcPr>
          <w:p>
            <w:pPr>
              <w:jc w:val="right"/>
              <w:ind w:right="572"/>
              <w:spacing w:after="0"/>
              <w:rPr>
                <w:sz w:val="20"/>
                <w:szCs w:val="20"/>
                <w:color w:val="auto"/>
              </w:rPr>
            </w:pPr>
            <w:r>
              <w:rPr>
                <w:rFonts w:ascii="Arial" w:cs="Arial" w:eastAsia="Arial" w:hAnsi="Arial"/>
                <w:sz w:val="18"/>
                <w:szCs w:val="18"/>
                <w:color w:val="auto"/>
              </w:rPr>
              <w:t>10.2</w:t>
            </w:r>
            <w:r>
              <w:rPr>
                <w:rFonts w:ascii="Arial" w:cs="Arial" w:eastAsia="Arial" w:hAnsi="Arial"/>
                <w:sz w:val="15"/>
                <w:szCs w:val="15"/>
                <w:color w:val="auto"/>
              </w:rPr>
              <w:t>(5)</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Non-Employee Director Compensation Plan.</w:t>
            </w:r>
          </w:p>
        </w:tc>
        <w:tc>
          <w:tcPr>
            <w:tcW w:w="0" w:type="dxa"/>
            <w:vAlign w:val="bottom"/>
          </w:tcPr>
          <w:p>
            <w:pPr>
              <w:spacing w:after="0"/>
              <w:rPr>
                <w:sz w:val="1"/>
                <w:szCs w:val="1"/>
                <w:color w:val="auto"/>
              </w:rPr>
            </w:pPr>
          </w:p>
        </w:tc>
      </w:tr>
      <w:tr>
        <w:trPr>
          <w:trHeight w:val="310"/>
        </w:trPr>
        <w:tc>
          <w:tcPr>
            <w:tcW w:w="1260" w:type="dxa"/>
            <w:vAlign w:val="bottom"/>
          </w:tcPr>
          <w:p>
            <w:pPr>
              <w:jc w:val="right"/>
              <w:ind w:right="572"/>
              <w:spacing w:after="0"/>
              <w:rPr>
                <w:sz w:val="20"/>
                <w:szCs w:val="20"/>
                <w:color w:val="auto"/>
              </w:rPr>
            </w:pPr>
            <w:r>
              <w:rPr>
                <w:rFonts w:ascii="Arial" w:cs="Arial" w:eastAsia="Arial" w:hAnsi="Arial"/>
                <w:sz w:val="18"/>
                <w:szCs w:val="18"/>
                <w:color w:val="auto"/>
              </w:rPr>
              <w:t>10.3</w:t>
            </w:r>
            <w:r>
              <w:rPr>
                <w:rFonts w:ascii="Arial" w:cs="Arial" w:eastAsia="Arial" w:hAnsi="Arial"/>
                <w:sz w:val="15"/>
                <w:szCs w:val="15"/>
                <w:color w:val="auto"/>
              </w:rPr>
              <w:t>(6)</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Form of Amended and Restated Employment Agreement, dated as of April 17, 2017 by and between Appian Corporation and each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Mark Lynch and Christopher Winters.</w:t>
            </w:r>
          </w:p>
        </w:tc>
        <w:tc>
          <w:tcPr>
            <w:tcW w:w="0" w:type="dxa"/>
            <w:vAlign w:val="bottom"/>
          </w:tcPr>
          <w:p>
            <w:pPr>
              <w:spacing w:after="0"/>
              <w:rPr>
                <w:sz w:val="1"/>
                <w:szCs w:val="1"/>
                <w:color w:val="auto"/>
              </w:rPr>
            </w:pPr>
          </w:p>
        </w:tc>
      </w:tr>
      <w:tr>
        <w:trPr>
          <w:trHeight w:val="297"/>
        </w:trPr>
        <w:tc>
          <w:tcPr>
            <w:tcW w:w="1260" w:type="dxa"/>
            <w:vAlign w:val="bottom"/>
          </w:tcPr>
          <w:p>
            <w:pPr>
              <w:jc w:val="right"/>
              <w:ind w:right="572"/>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(7)</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Subordinated Loan and Security Agreement, dated as of April 25, 2017, by and between Appian Corporation and Silicon Valley Bank.</w:t>
            </w:r>
          </w:p>
        </w:tc>
        <w:tc>
          <w:tcPr>
            <w:tcW w:w="0" w:type="dxa"/>
            <w:vAlign w:val="bottom"/>
          </w:tcPr>
          <w:p>
            <w:pPr>
              <w:spacing w:after="0"/>
              <w:rPr>
                <w:sz w:val="1"/>
                <w:szCs w:val="1"/>
                <w:color w:val="auto"/>
              </w:rPr>
            </w:pPr>
          </w:p>
        </w:tc>
      </w:tr>
      <w:tr>
        <w:trPr>
          <w:trHeight w:val="323"/>
        </w:trPr>
        <w:tc>
          <w:tcPr>
            <w:tcW w:w="1260" w:type="dxa"/>
            <w:vAlign w:val="bottom"/>
          </w:tcPr>
          <w:p>
            <w:pPr>
              <w:jc w:val="right"/>
              <w:ind w:right="672"/>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0"/>
        </w:trPr>
        <w:tc>
          <w:tcPr>
            <w:tcW w:w="1260" w:type="dxa"/>
            <w:vAlign w:val="bottom"/>
          </w:tcPr>
          <w:p>
            <w:pPr>
              <w:jc w:val="right"/>
              <w:ind w:right="67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0"/>
        </w:trPr>
        <w:tc>
          <w:tcPr>
            <w:tcW w:w="1260" w:type="dxa"/>
            <w:vAlign w:val="bottom"/>
          </w:tcPr>
          <w:p>
            <w:pPr>
              <w:jc w:val="right"/>
              <w:ind w:right="572"/>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Certifications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14490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4" w:lineRule="exact"/>
        <w:rPr>
          <w:sz w:val="20"/>
          <w:szCs w:val="20"/>
          <w:color w:val="auto"/>
        </w:rPr>
      </w:pPr>
    </w:p>
    <w:p>
      <w:pPr>
        <w:ind w:left="560" w:right="420" w:hanging="552"/>
        <w:spacing w:after="0" w:line="258"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as Exhibit 3.2 to Amendment No. 3 to the Company’s Registration Statement on Form S-1 (File No. 333-217510), filed with the Securities and Exchange Commission on May 12, 2017, and incorporated herein by reference.</w:t>
      </w:r>
    </w:p>
    <w:p>
      <w:pPr>
        <w:spacing w:after="0" w:line="1" w:lineRule="exact"/>
        <w:rPr>
          <w:rFonts w:ascii="Arial" w:cs="Arial" w:eastAsia="Arial" w:hAnsi="Arial"/>
          <w:sz w:val="15"/>
          <w:szCs w:val="15"/>
          <w:color w:val="auto"/>
        </w:rPr>
      </w:pPr>
    </w:p>
    <w:p>
      <w:pPr>
        <w:ind w:left="560" w:right="420" w:hanging="552"/>
        <w:spacing w:after="0" w:line="250"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as Exhibit 3.4 to Amendment No. 2 to the Company’s Registration Statement on Form S-1 (File No. 333-217510), filed with the Securities and Exchange Commission on May 10, 2017, and incorporated herein by reference.</w:t>
      </w:r>
    </w:p>
    <w:p>
      <w:pPr>
        <w:ind w:left="560" w:right="380" w:hanging="552"/>
        <w:spacing w:after="0" w:line="250"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as Exhibit 4.1 to Amendment No. 3 to the Registrant’s Registration Statement on Form S-1 (File No. 333-217510), filed with the Securities and Exchange Commission on May 12, 2017, and incorporated herein by reference.</w:t>
      </w:r>
    </w:p>
    <w:p>
      <w:pPr>
        <w:ind w:left="560" w:right="300" w:hanging="552"/>
        <w:spacing w:after="0" w:line="250"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as Exhibit 10.2 to Amendment No. 2 to the Registrant’s Registration Statement on Form S-1 (File No. 333-217510), filed with the Securities and Exchange Commission on May 10, 2017, and incorporated herein by reference.</w:t>
      </w:r>
    </w:p>
    <w:p>
      <w:pPr>
        <w:ind w:left="560" w:right="300" w:hanging="552"/>
        <w:spacing w:after="0" w:line="250"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as Exhibit 10.3 to Amendment No. 3 to the Registrant’s Registration Statement on Form S-1 (File No. 333-217510), filed with the Securities and Exchange Commission on May 12, 2017, and incorporated herein by reference.</w:t>
      </w:r>
    </w:p>
    <w:p>
      <w:pPr>
        <w:ind w:left="560" w:right="40" w:hanging="552"/>
        <w:spacing w:after="0" w:line="250"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as Exhibit 10.7 to the Registrant’s Registration Statement on Form S-1 (File No. 333-217510), filed with the Securities and Exchange Commission on April 27, 2017, and incorporated herein by reference.</w:t>
      </w:r>
    </w:p>
    <w:p>
      <w:pPr>
        <w:ind w:left="560" w:right="200" w:hanging="552"/>
        <w:spacing w:after="0" w:line="250" w:lineRule="auto"/>
        <w:tabs>
          <w:tab w:leader="none" w:pos="5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Previously filed as Exhibit 10.10 to Amendment No. 1 to the Registrant’s Registration Statement on Form S-1 (File No. 333-217510), filed with the Securities and Exchange Commission on May 8, 2017, and incorporated herein by reference.</w:t>
      </w:r>
    </w:p>
    <w:p>
      <w:pPr>
        <w:spacing w:after="0" w:line="1" w:lineRule="exact"/>
        <w:rPr>
          <w:sz w:val="20"/>
          <w:szCs w:val="20"/>
          <w:color w:val="auto"/>
        </w:rPr>
      </w:pP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60" w:right="20" w:hanging="552"/>
        <w:spacing w:after="0" w:line="255"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5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Calkins, certify that:</w:t>
      </w:r>
    </w:p>
    <w:p>
      <w:pPr>
        <w:spacing w:after="0" w:line="225" w:lineRule="exact"/>
        <w:rPr>
          <w:sz w:val="20"/>
          <w:szCs w:val="20"/>
          <w:color w:val="auto"/>
        </w:rPr>
      </w:pPr>
    </w:p>
    <w:p>
      <w:pPr>
        <w:ind w:left="760" w:hanging="645"/>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Appian Corporation (the “registrant”);</w:t>
      </w:r>
    </w:p>
    <w:p>
      <w:pPr>
        <w:spacing w:after="0" w:line="225" w:lineRule="exact"/>
        <w:rPr>
          <w:rFonts w:ascii="Arial" w:cs="Arial" w:eastAsia="Arial" w:hAnsi="Arial"/>
          <w:sz w:val="18"/>
          <w:szCs w:val="18"/>
          <w:color w:val="auto"/>
        </w:rPr>
      </w:pPr>
    </w:p>
    <w:p>
      <w:pPr>
        <w:ind w:left="680" w:right="180" w:hanging="565"/>
        <w:spacing w:after="0" w:line="264" w:lineRule="auto"/>
        <w:tabs>
          <w:tab w:leader="none" w:pos="7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80" w:right="140" w:hanging="565"/>
        <w:spacing w:after="0" w:line="308" w:lineRule="auto"/>
        <w:tabs>
          <w:tab w:leader="none" w:pos="769"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80" w:right="180" w:hanging="565"/>
        <w:spacing w:after="0" w:line="277" w:lineRule="auto"/>
        <w:tabs>
          <w:tab w:leader="none" w:pos="7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80" w:right="40" w:hanging="537"/>
        <w:spacing w:after="0" w:line="264" w:lineRule="auto"/>
        <w:tabs>
          <w:tab w:leader="none" w:pos="135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80" w:right="360" w:hanging="537"/>
        <w:spacing w:after="0" w:line="342" w:lineRule="auto"/>
        <w:tabs>
          <w:tab w:leader="none" w:pos="1363"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80" w:right="120" w:hanging="537"/>
        <w:spacing w:after="0" w:line="264" w:lineRule="auto"/>
        <w:tabs>
          <w:tab w:leader="none" w:pos="137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80" w:right="140" w:hanging="565"/>
        <w:spacing w:after="0" w:line="342" w:lineRule="auto"/>
        <w:tabs>
          <w:tab w:leader="none" w:pos="7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80" w:right="580" w:hanging="537"/>
        <w:spacing w:after="0" w:line="342" w:lineRule="auto"/>
        <w:tabs>
          <w:tab w:leader="none" w:pos="1353"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80" w:right="260" w:hanging="537"/>
        <w:spacing w:after="0" w:line="277" w:lineRule="auto"/>
        <w:tabs>
          <w:tab w:leader="none" w:pos="136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Calkins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Calkins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Lynch, certify that:</w:t>
      </w:r>
    </w:p>
    <w:p>
      <w:pPr>
        <w:spacing w:after="0" w:line="225" w:lineRule="exact"/>
        <w:rPr>
          <w:sz w:val="20"/>
          <w:szCs w:val="20"/>
          <w:color w:val="auto"/>
        </w:rPr>
      </w:pPr>
    </w:p>
    <w:p>
      <w:pPr>
        <w:ind w:left="760" w:hanging="645"/>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2017 of Appian Corporation (the “registrant”);</w:t>
      </w:r>
    </w:p>
    <w:p>
      <w:pPr>
        <w:spacing w:after="0" w:line="225" w:lineRule="exact"/>
        <w:rPr>
          <w:rFonts w:ascii="Arial" w:cs="Arial" w:eastAsia="Arial" w:hAnsi="Arial"/>
          <w:sz w:val="18"/>
          <w:szCs w:val="18"/>
          <w:color w:val="auto"/>
        </w:rPr>
      </w:pPr>
    </w:p>
    <w:p>
      <w:pPr>
        <w:ind w:left="680" w:right="180" w:hanging="565"/>
        <w:spacing w:after="0" w:line="264" w:lineRule="auto"/>
        <w:tabs>
          <w:tab w:leader="none" w:pos="7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80" w:right="140" w:hanging="565"/>
        <w:spacing w:after="0" w:line="308" w:lineRule="auto"/>
        <w:tabs>
          <w:tab w:leader="none" w:pos="7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80" w:right="180" w:hanging="565"/>
        <w:spacing w:after="0" w:line="277" w:lineRule="auto"/>
        <w:tabs>
          <w:tab w:leader="none" w:pos="76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280" w:right="40" w:hanging="537"/>
        <w:spacing w:after="0" w:line="264" w:lineRule="auto"/>
        <w:tabs>
          <w:tab w:leader="none" w:pos="13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280" w:right="360" w:hanging="537"/>
        <w:spacing w:after="0" w:line="342" w:lineRule="auto"/>
        <w:tabs>
          <w:tab w:leader="none" w:pos="1363"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80" w:right="120" w:hanging="537"/>
        <w:spacing w:after="0" w:line="264" w:lineRule="auto"/>
        <w:tabs>
          <w:tab w:leader="none" w:pos="137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80" w:right="140" w:hanging="565"/>
        <w:spacing w:after="0" w:line="342" w:lineRule="auto"/>
        <w:tabs>
          <w:tab w:leader="none" w:pos="7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280" w:right="580" w:hanging="537"/>
        <w:spacing w:after="0" w:line="342" w:lineRule="auto"/>
        <w:tabs>
          <w:tab w:leader="none" w:pos="1353"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80" w:right="260" w:hanging="537"/>
        <w:spacing w:after="0" w:line="277" w:lineRule="auto"/>
        <w:tabs>
          <w:tab w:leader="none" w:pos="136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Lynch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Matthew Calkins, Chief Executive Officer of Appian Corporation (the “Company”), and Mark Lynch, Chief Financial Officer of the Company, each hereby certifies that, to the best of his knowledge:</w:t>
      </w:r>
    </w:p>
    <w:p>
      <w:pPr>
        <w:spacing w:after="0" w:line="166" w:lineRule="exact"/>
        <w:rPr>
          <w:sz w:val="20"/>
          <w:szCs w:val="20"/>
          <w:color w:val="auto"/>
        </w:rPr>
      </w:pPr>
    </w:p>
    <w:p>
      <w:pPr>
        <w:ind w:left="680" w:right="380" w:hanging="565"/>
        <w:spacing w:after="0" w:line="308" w:lineRule="auto"/>
        <w:tabs>
          <w:tab w:leader="none" w:pos="769"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June 30, 2017, to which this Certification is attached as Exhibit 32.1 (the “Periodic Report”), fully complies with the requirements of Section 13(a) or Section 15(d) of the Exchange Act; and</w:t>
      </w:r>
    </w:p>
    <w:p>
      <w:pPr>
        <w:spacing w:after="0" w:line="146" w:lineRule="exact"/>
        <w:rPr>
          <w:rFonts w:ascii="Arial" w:cs="Arial" w:eastAsia="Arial" w:hAnsi="Arial"/>
          <w:sz w:val="17"/>
          <w:szCs w:val="17"/>
          <w:b w:val="1"/>
          <w:bCs w:val="1"/>
          <w:color w:val="auto"/>
        </w:rPr>
      </w:pPr>
    </w:p>
    <w:p>
      <w:pPr>
        <w:ind w:left="680" w:right="340" w:hanging="565"/>
        <w:spacing w:after="0" w:line="277" w:lineRule="auto"/>
        <w:tabs>
          <w:tab w:leader="none" w:pos="769"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3</w:t>
      </w:r>
      <w:r>
        <w:rPr>
          <w:rFonts w:ascii="Arial" w:cs="Arial" w:eastAsia="Arial" w:hAnsi="Arial"/>
          <w:sz w:val="15"/>
          <w:szCs w:val="15"/>
          <w:color w:val="auto"/>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August,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3"/>
          </w:tcPr>
          <w:p>
            <w:pPr>
              <w:spacing w:after="0"/>
              <w:rPr>
                <w:sz w:val="20"/>
                <w:szCs w:val="20"/>
                <w:color w:val="auto"/>
              </w:rPr>
            </w:pPr>
            <w:r>
              <w:rPr>
                <w:rFonts w:ascii="Arial" w:cs="Arial" w:eastAsia="Arial" w:hAnsi="Arial"/>
                <w:sz w:val="18"/>
                <w:szCs w:val="18"/>
                <w:color w:val="auto"/>
              </w:rPr>
              <w:t>/s/ Matthew Calkins</w:t>
            </w:r>
          </w:p>
        </w:tc>
        <w:tc>
          <w:tcPr>
            <w:tcW w:w="5080" w:type="dxa"/>
            <w:vAlign w:val="bottom"/>
          </w:tcPr>
          <w:p>
            <w:pPr>
              <w:spacing w:after="0"/>
              <w:rPr>
                <w:sz w:val="20"/>
                <w:szCs w:val="20"/>
                <w:color w:val="auto"/>
              </w:rPr>
            </w:pPr>
            <w:r>
              <w:rPr>
                <w:rFonts w:ascii="Arial" w:cs="Arial" w:eastAsia="Arial" w:hAnsi="Arial"/>
                <w:sz w:val="18"/>
                <w:szCs w:val="18"/>
                <w:color w:val="auto"/>
              </w:rPr>
              <w:t>/s/ Mark Lynch</w:t>
            </w:r>
          </w:p>
        </w:tc>
      </w:tr>
      <w:tr>
        <w:trPr>
          <w:trHeight w:val="195"/>
        </w:trPr>
        <w:tc>
          <w:tcPr>
            <w:tcW w:w="2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Calkins</w:t>
            </w:r>
          </w:p>
        </w:tc>
        <w:tc>
          <w:tcPr>
            <w:tcW w:w="1240" w:type="dxa"/>
            <w:vAlign w:val="bottom"/>
          </w:tcPr>
          <w:p>
            <w:pPr>
              <w:spacing w:after="0"/>
              <w:rPr>
                <w:sz w:val="16"/>
                <w:szCs w:val="16"/>
                <w:color w:val="auto"/>
              </w:rPr>
            </w:pPr>
          </w:p>
        </w:tc>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Mark Lynch</w:t>
            </w: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5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34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50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2" w:lineRule="exact"/>
        <w:rPr>
          <w:sz w:val="20"/>
          <w:szCs w:val="20"/>
          <w:color w:val="auto"/>
        </w:rPr>
      </w:pPr>
    </w:p>
    <w:p>
      <w:pPr>
        <w:ind w:left="380" w:right="220" w:hanging="290"/>
        <w:spacing w:after="0" w:line="286" w:lineRule="auto"/>
        <w:tabs>
          <w:tab w:leader="none" w:pos="38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decimal"/>
      <w:start w:val="8"/>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lowerLetter"/>
      <w:start w:val="1"/>
    </w:lvl>
  </w:abstractNum>
  <w:abstractNum w:abstractNumId="15">
    <w:nsid w:val="333AB105"/>
    <w:multiLevelType w:val="hybridMultilevel"/>
    <w:lvl w:ilvl="0">
      <w:lvlJc w:val="left"/>
      <w:lvlText w:val="(%1)"/>
      <w:numFmt w:val="lowerLetter"/>
      <w:start w:val="2"/>
    </w:lvl>
  </w:abstractNum>
  <w:abstractNum w:abstractNumId="16">
    <w:nsid w:val="721DA317"/>
    <w:multiLevelType w:val="hybridMultilevel"/>
    <w:lvl w:ilvl="0">
      <w:lvlJc w:val="left"/>
      <w:lvlText w:val="(%1)"/>
      <w:numFmt w:val="lowerLetter"/>
      <w:start w:val="3"/>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2019-12-29T04:32:19Z</dcterms:created>
  <dcterms:modified xsi:type="dcterms:W3CDTF">2019-12-29T04:32:19Z</dcterms:modified>
</cp:coreProperties>
</file>