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02870"/>
                    </a:xfrm>
                    <a:prstGeom prst="rect">
                      <a:avLst/>
                    </a:prstGeom>
                    <a:noFill/>
                  </pic:spPr>
                </pic:pic>
              </a:graphicData>
            </a:graphic>
          </wp:anchor>
        </w:drawing>
        <w:t>UNITED STATES</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189230</wp:posOffset>
            </wp:positionV>
            <wp:extent cx="1861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208280</wp:posOffset>
            </wp:positionV>
            <wp:extent cx="1861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AMENDMENT NO. 1 to</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February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200660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Appian Corporation</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194310</wp:posOffset>
            </wp:positionV>
            <wp:extent cx="1861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4300" w:type="dxa"/>
            <w:vAlign w:val="bottom"/>
          </w:tcPr>
          <w:p>
            <w:pPr>
              <w:jc w:val="center"/>
              <w:ind w:right="570"/>
              <w:spacing w:after="0"/>
              <w:rPr>
                <w:sz w:val="20"/>
                <w:szCs w:val="20"/>
                <w:color w:val="auto"/>
              </w:rPr>
            </w:pPr>
            <w:r>
              <w:rPr>
                <w:rFonts w:ascii="Arial" w:cs="Arial" w:eastAsia="Arial" w:hAnsi="Arial"/>
                <w:sz w:val="16"/>
                <w:szCs w:val="16"/>
                <w:b w:val="1"/>
                <w:bCs w:val="1"/>
                <w:color w:val="auto"/>
                <w:w w:val="93"/>
              </w:rPr>
              <w:t>Delaware</w:t>
            </w:r>
          </w:p>
        </w:tc>
        <w:tc>
          <w:tcPr>
            <w:tcW w:w="3360" w:type="dxa"/>
            <w:vAlign w:val="bottom"/>
          </w:tcPr>
          <w:p>
            <w:pPr>
              <w:jc w:val="right"/>
              <w:ind w:right="1568"/>
              <w:spacing w:after="0"/>
              <w:rPr>
                <w:sz w:val="20"/>
                <w:szCs w:val="20"/>
                <w:color w:val="auto"/>
              </w:rPr>
            </w:pPr>
            <w:r>
              <w:rPr>
                <w:rFonts w:ascii="Arial" w:cs="Arial" w:eastAsia="Arial" w:hAnsi="Arial"/>
                <w:sz w:val="16"/>
                <w:szCs w:val="16"/>
                <w:b w:val="1"/>
                <w:bCs w:val="1"/>
                <w:color w:val="auto"/>
              </w:rPr>
              <w:t>001-38098</w:t>
            </w:r>
          </w:p>
        </w:tc>
        <w:tc>
          <w:tcPr>
            <w:tcW w:w="2260" w:type="dxa"/>
            <w:vAlign w:val="bottom"/>
          </w:tcPr>
          <w:p>
            <w:pPr>
              <w:jc w:val="right"/>
              <w:ind w:right="30"/>
              <w:spacing w:after="0"/>
              <w:rPr>
                <w:sz w:val="20"/>
                <w:szCs w:val="20"/>
                <w:color w:val="auto"/>
              </w:rPr>
            </w:pPr>
            <w:r>
              <w:rPr>
                <w:rFonts w:ascii="Arial" w:cs="Arial" w:eastAsia="Arial" w:hAnsi="Arial"/>
                <w:sz w:val="16"/>
                <w:szCs w:val="16"/>
                <w:b w:val="1"/>
                <w:bCs w:val="1"/>
                <w:color w:val="auto"/>
              </w:rPr>
              <w:t>54-1956084</w:t>
            </w:r>
          </w:p>
        </w:tc>
      </w:tr>
      <w:tr>
        <w:trPr>
          <w:trHeight w:val="177"/>
        </w:trPr>
        <w:tc>
          <w:tcPr>
            <w:tcW w:w="4300" w:type="dxa"/>
            <w:vAlign w:val="bottom"/>
          </w:tcPr>
          <w:p>
            <w:pPr>
              <w:jc w:val="center"/>
              <w:ind w:right="570"/>
              <w:spacing w:after="0"/>
              <w:rPr>
                <w:sz w:val="20"/>
                <w:szCs w:val="20"/>
                <w:color w:val="auto"/>
              </w:rPr>
            </w:pPr>
            <w:r>
              <w:rPr>
                <w:rFonts w:ascii="Arial" w:cs="Arial" w:eastAsia="Arial" w:hAnsi="Arial"/>
                <w:sz w:val="13"/>
                <w:szCs w:val="13"/>
                <w:b w:val="1"/>
                <w:bCs w:val="1"/>
                <w:color w:val="auto"/>
                <w:w w:val="89"/>
              </w:rPr>
              <w:t>(State or Other Jurisdiction</w:t>
            </w:r>
          </w:p>
        </w:tc>
        <w:tc>
          <w:tcPr>
            <w:tcW w:w="3360" w:type="dxa"/>
            <w:vAlign w:val="bottom"/>
          </w:tcPr>
          <w:p>
            <w:pPr>
              <w:spacing w:after="0"/>
              <w:rPr>
                <w:sz w:val="15"/>
                <w:szCs w:val="15"/>
                <w:color w:val="auto"/>
              </w:rPr>
            </w:pPr>
          </w:p>
        </w:tc>
        <w:tc>
          <w:tcPr>
            <w:tcW w:w="2260" w:type="dxa"/>
            <w:vAlign w:val="bottom"/>
          </w:tcPr>
          <w:p>
            <w:pPr>
              <w:jc w:val="center"/>
              <w:ind w:left="1210"/>
              <w:spacing w:after="0"/>
              <w:rPr>
                <w:sz w:val="20"/>
                <w:szCs w:val="20"/>
                <w:color w:val="auto"/>
              </w:rPr>
            </w:pPr>
            <w:r>
              <w:rPr>
                <w:rFonts w:ascii="Arial" w:cs="Arial" w:eastAsia="Arial" w:hAnsi="Arial"/>
                <w:sz w:val="13"/>
                <w:szCs w:val="13"/>
                <w:b w:val="1"/>
                <w:bCs w:val="1"/>
                <w:color w:val="auto"/>
                <w:w w:val="92"/>
              </w:rPr>
              <w:t>(IRS Employer</w:t>
            </w:r>
          </w:p>
        </w:tc>
      </w:tr>
      <w:tr>
        <w:trPr>
          <w:trHeight w:val="178"/>
        </w:trPr>
        <w:tc>
          <w:tcPr>
            <w:tcW w:w="4300" w:type="dxa"/>
            <w:vAlign w:val="bottom"/>
          </w:tcPr>
          <w:p>
            <w:pPr>
              <w:jc w:val="center"/>
              <w:ind w:right="570"/>
              <w:spacing w:after="0"/>
              <w:rPr>
                <w:sz w:val="20"/>
                <w:szCs w:val="20"/>
                <w:color w:val="auto"/>
              </w:rPr>
            </w:pPr>
            <w:r>
              <w:rPr>
                <w:rFonts w:ascii="Arial" w:cs="Arial" w:eastAsia="Arial" w:hAnsi="Arial"/>
                <w:sz w:val="13"/>
                <w:szCs w:val="13"/>
                <w:b w:val="1"/>
                <w:bCs w:val="1"/>
                <w:color w:val="auto"/>
                <w:w w:val="90"/>
              </w:rPr>
              <w:t>of Incorporation)</w:t>
            </w:r>
          </w:p>
        </w:tc>
        <w:tc>
          <w:tcPr>
            <w:tcW w:w="3360" w:type="dxa"/>
            <w:vAlign w:val="bottom"/>
          </w:tcPr>
          <w:p>
            <w:pPr>
              <w:jc w:val="center"/>
              <w:ind w:right="548"/>
              <w:spacing w:after="0"/>
              <w:rPr>
                <w:sz w:val="20"/>
                <w:szCs w:val="20"/>
                <w:color w:val="auto"/>
              </w:rPr>
            </w:pPr>
            <w:r>
              <w:rPr>
                <w:rFonts w:ascii="Arial" w:cs="Arial" w:eastAsia="Arial" w:hAnsi="Arial"/>
                <w:sz w:val="13"/>
                <w:szCs w:val="13"/>
                <w:b w:val="1"/>
                <w:bCs w:val="1"/>
                <w:color w:val="auto"/>
                <w:w w:val="88"/>
              </w:rPr>
              <w:t>(Commission File Number)</w:t>
            </w:r>
          </w:p>
        </w:tc>
        <w:tc>
          <w:tcPr>
            <w:tcW w:w="2260" w:type="dxa"/>
            <w:vAlign w:val="bottom"/>
          </w:tcPr>
          <w:p>
            <w:pPr>
              <w:jc w:val="center"/>
              <w:ind w:left="1190"/>
              <w:spacing w:after="0"/>
              <w:rPr>
                <w:sz w:val="20"/>
                <w:szCs w:val="20"/>
                <w:color w:val="auto"/>
              </w:rPr>
            </w:pPr>
            <w:r>
              <w:rPr>
                <w:rFonts w:ascii="Arial" w:cs="Arial" w:eastAsia="Arial" w:hAnsi="Arial"/>
                <w:sz w:val="13"/>
                <w:szCs w:val="13"/>
                <w:b w:val="1"/>
                <w:bCs w:val="1"/>
                <w:color w:val="auto"/>
                <w:w w:val="91"/>
              </w:rPr>
              <w:t>Identification No.)</w:t>
            </w:r>
          </w:p>
        </w:tc>
      </w:tr>
      <w:tr>
        <w:trPr>
          <w:trHeight w:val="510"/>
        </w:trPr>
        <w:tc>
          <w:tcPr>
            <w:tcW w:w="4300" w:type="dxa"/>
            <w:vAlign w:val="bottom"/>
          </w:tcPr>
          <w:p>
            <w:pPr>
              <w:jc w:val="center"/>
              <w:ind w:right="570"/>
              <w:spacing w:after="0"/>
              <w:rPr>
                <w:sz w:val="20"/>
                <w:szCs w:val="20"/>
                <w:color w:val="auto"/>
              </w:rPr>
            </w:pPr>
            <w:r>
              <w:rPr>
                <w:rFonts w:ascii="Arial" w:cs="Arial" w:eastAsia="Arial" w:hAnsi="Arial"/>
                <w:sz w:val="16"/>
                <w:szCs w:val="16"/>
                <w:b w:val="1"/>
                <w:bCs w:val="1"/>
                <w:color w:val="auto"/>
                <w:w w:val="91"/>
              </w:rPr>
              <w:t>11955 Democracy Drive, Suite 1700, Reston, Virginia</w:t>
            </w:r>
          </w:p>
        </w:tc>
        <w:tc>
          <w:tcPr>
            <w:tcW w:w="3360" w:type="dxa"/>
            <w:vAlign w:val="bottom"/>
          </w:tcPr>
          <w:p>
            <w:pPr>
              <w:spacing w:after="0"/>
              <w:rPr>
                <w:sz w:val="24"/>
                <w:szCs w:val="24"/>
                <w:color w:val="auto"/>
              </w:rPr>
            </w:pPr>
          </w:p>
        </w:tc>
        <w:tc>
          <w:tcPr>
            <w:tcW w:w="22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20190</w:t>
            </w:r>
          </w:p>
        </w:tc>
      </w:tr>
      <w:tr>
        <w:trPr>
          <w:trHeight w:val="206"/>
        </w:trPr>
        <w:tc>
          <w:tcPr>
            <w:tcW w:w="4300" w:type="dxa"/>
            <w:vAlign w:val="bottom"/>
          </w:tcPr>
          <w:p>
            <w:pPr>
              <w:jc w:val="center"/>
              <w:ind w:right="57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360" w:type="dxa"/>
            <w:vAlign w:val="bottom"/>
          </w:tcPr>
          <w:p>
            <w:pPr>
              <w:spacing w:after="0"/>
              <w:rPr>
                <w:sz w:val="17"/>
                <w:szCs w:val="17"/>
                <w:color w:val="auto"/>
              </w:rPr>
            </w:pPr>
          </w:p>
        </w:tc>
        <w:tc>
          <w:tcPr>
            <w:tcW w:w="2260" w:type="dxa"/>
            <w:vAlign w:val="bottom"/>
          </w:tcPr>
          <w:p>
            <w:pPr>
              <w:jc w:val="center"/>
              <w:ind w:left="1210"/>
              <w:spacing w:after="0"/>
              <w:rPr>
                <w:sz w:val="20"/>
                <w:szCs w:val="20"/>
                <w:color w:val="auto"/>
              </w:rPr>
            </w:pPr>
            <w:r>
              <w:rPr>
                <w:rFonts w:ascii="Arial" w:cs="Arial" w:eastAsia="Arial" w:hAnsi="Arial"/>
                <w:sz w:val="13"/>
                <w:szCs w:val="13"/>
                <w:b w:val="1"/>
                <w:bCs w:val="1"/>
                <w:color w:val="auto"/>
                <w:w w:val="90"/>
              </w:rPr>
              <w:t>(Zip Code)</w:t>
            </w:r>
          </w:p>
        </w:tc>
      </w:tr>
    </w:tbl>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(703) 442-8844</w:t>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Not Applicable</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182245</wp:posOffset>
            </wp:positionV>
            <wp:extent cx="283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Instructions A.2. below):</w:t>
      </w:r>
    </w:p>
    <w:p>
      <w:pPr>
        <w:spacing w:after="0" w:line="153" w:lineRule="exact"/>
        <w:rPr>
          <w:sz w:val="24"/>
          <w:szCs w:val="24"/>
          <w:color w:val="auto"/>
        </w:rPr>
      </w:pPr>
    </w:p>
    <w:p>
      <w:pPr>
        <w:ind w:left="460" w:hanging="438"/>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Arial" w:cs="Arial" w:eastAsia="Arial" w:hAnsi="Arial"/>
          <w:sz w:val="16"/>
          <w:szCs w:val="16"/>
          <w:color w:val="auto"/>
        </w:rPr>
      </w:pPr>
    </w:p>
    <w:p>
      <w:pPr>
        <w:ind w:left="460" w:hanging="438"/>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Arial" w:cs="Arial" w:eastAsia="Arial" w:hAnsi="Arial"/>
          <w:sz w:val="16"/>
          <w:szCs w:val="16"/>
          <w:color w:val="auto"/>
        </w:rPr>
      </w:pPr>
    </w:p>
    <w:p>
      <w:pPr>
        <w:ind w:left="460" w:hanging="438"/>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Arial" w:cs="Arial" w:eastAsia="Arial" w:hAnsi="Arial"/>
          <w:sz w:val="16"/>
          <w:szCs w:val="16"/>
          <w:color w:val="auto"/>
        </w:rPr>
      </w:pPr>
    </w:p>
    <w:p>
      <w:pPr>
        <w:ind w:left="460" w:hanging="438"/>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167"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295910</wp:posOffset>
            </wp:positionV>
            <wp:extent cx="7075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210185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07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OF EXPLANATION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22, 2018, Appian Corporation (the "Company") issued a press release announcing its financial results for the fiscal year ended December 31, 2017. A copy of this release was furnished with a Current Report on Form 8-K filed on February 22, 2018 (the “Report”). This Amendment No. 1 to the Current Report on Form 8-K/A is being filed to amend Items 2.02 and 9.01 of the Report, solely for the purpose of correcting an error contained in the press release attached to the original Current Report filed on February 22, 2018 with respect to expected non-GAAP net loss per basic and diluted share for the full year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On February 23, 2018, the Company issued a corrected press release announcing the Company’s financial results for the fourth quarter and full year ended December 31, 2017, which has been updated solely to correct an error related to certain non-GAAP financial information contained in the prior press release issued on February 22, 2018. A copy of the corrected press release is furnished as Exhibit 99.1 to this Current Report on Form 8-K.</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information included in this Amendment No. 1 to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0" w:type="dxa"/>
            <w:vAlign w:val="bottom"/>
            <w:tcBorders>
              <w:top w:val="single" w:sz="8" w:color="auto"/>
            </w:tcBorders>
            <w:gridSpan w:val="2"/>
            <w:vMerge w:val="restart"/>
          </w:tcPr>
          <w:p>
            <w:pPr>
              <w:jc w:val="right"/>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hyperlink>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Press Release, originally dated February 22, 2018, as updated February 23, 2018.</w:t>
            </w:r>
          </w:p>
        </w:tc>
        <w:tc>
          <w:tcPr>
            <w:tcW w:w="0" w:type="dxa"/>
            <w:vAlign w:val="bottom"/>
          </w:tcPr>
          <w:p>
            <w:pPr>
              <w:spacing w:after="0"/>
              <w:rPr>
                <w:sz w:val="1"/>
                <w:szCs w:val="1"/>
                <w:color w:val="auto"/>
              </w:rPr>
            </w:pPr>
          </w:p>
        </w:tc>
      </w:tr>
      <w:tr>
        <w:trPr>
          <w:trHeight w:val="176"/>
        </w:trPr>
        <w:tc>
          <w:tcPr>
            <w:tcW w:w="3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1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Appian Corporation</w:t>
      </w:r>
    </w:p>
    <w:p>
      <w:pPr>
        <w:spacing w:after="0" w:line="337" w:lineRule="exact"/>
        <w:rPr>
          <w:sz w:val="20"/>
          <w:szCs w:val="20"/>
          <w:color w:val="auto"/>
        </w:rPr>
      </w:pPr>
    </w:p>
    <w:p>
      <w:pPr>
        <w:ind w:left="60"/>
        <w:spacing w:after="0"/>
        <w:tabs>
          <w:tab w:leader="none" w:pos="5060" w:val="left"/>
          <w:tab w:leader="none" w:pos="8040" w:val="left"/>
        </w:tabs>
        <w:rPr>
          <w:sz w:val="20"/>
          <w:szCs w:val="20"/>
          <w:color w:val="auto"/>
        </w:rPr>
      </w:pPr>
      <w:r>
        <w:rPr>
          <w:rFonts w:ascii="Arial" w:cs="Arial" w:eastAsia="Arial" w:hAnsi="Arial"/>
          <w:sz w:val="18"/>
          <w:szCs w:val="18"/>
          <w:color w:val="auto"/>
        </w:rPr>
        <w:t>Date: February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Mark Lynch</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2581275" cy="106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127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Corrected Release</w:t>
      </w:r>
    </w:p>
    <w:p>
      <w:pPr>
        <w:spacing w:after="0" w:line="32" w:lineRule="exact"/>
        <w:rPr>
          <w:sz w:val="20"/>
          <w:szCs w:val="20"/>
          <w:color w:val="auto"/>
        </w:rPr>
      </w:pPr>
    </w:p>
    <w:p>
      <w:pPr>
        <w:ind w:right="260"/>
        <w:spacing w:after="0" w:line="298" w:lineRule="auto"/>
        <w:rPr>
          <w:sz w:val="20"/>
          <w:szCs w:val="20"/>
          <w:color w:val="auto"/>
        </w:rPr>
      </w:pPr>
      <w:r>
        <w:rPr>
          <w:rFonts w:ascii="Arial" w:cs="Arial" w:eastAsia="Arial" w:hAnsi="Arial"/>
          <w:sz w:val="18"/>
          <w:szCs w:val="18"/>
          <w:color w:val="auto"/>
        </w:rPr>
        <w:t>-This press release corrects a prior version published on February 22, 2018. In the fourth bullet under Full Year 2018 Guidance, the range for Non-GAAP net loss per basic and diluted share should read between $(0.65) and $(0.62), instead of between $(0.54) and $(0.53).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Appian Announces Fourth Quarter and Full Year 2017 Financial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quarter subscription revenue increased 42% year-over-year to $23.5 million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quarter total revenue increased 50% year-over-year to $50.6 million</w:t>
      </w:r>
    </w:p>
    <w:p>
      <w:pPr>
        <w:spacing w:after="0" w:line="32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Reston, VA - February 22, 2018 (Updated February 23, 2018) </w:t>
      </w:r>
      <w:r>
        <w:rPr>
          <w:rFonts w:ascii="Arial" w:cs="Arial" w:eastAsia="Arial" w:hAnsi="Arial"/>
          <w:sz w:val="20"/>
          <w:szCs w:val="20"/>
          <w:color w:val="auto"/>
        </w:rPr>
        <w:t>- Appian (NASDAQ: APPN) today announced financial results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and full year ended December 31, 2017.</w:t>
      </w:r>
    </w:p>
    <w:p>
      <w:pPr>
        <w:spacing w:after="0" w:line="8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222222"/>
        </w:rPr>
        <w:t xml:space="preserve">"Companies everywhere want a better way to make unique software. </w:t>
      </w:r>
      <w:r>
        <w:rPr>
          <w:rFonts w:ascii="Arial" w:cs="Arial" w:eastAsia="Arial" w:hAnsi="Arial"/>
          <w:sz w:val="20"/>
          <w:szCs w:val="20"/>
          <w:color w:val="000000"/>
        </w:rPr>
        <w:t>Appian is emerging as a good platform for doing that, as you can see in</w:t>
      </w:r>
      <w:r>
        <w:rPr>
          <w:rFonts w:ascii="Arial" w:cs="Arial" w:eastAsia="Arial" w:hAnsi="Arial"/>
          <w:sz w:val="20"/>
          <w:szCs w:val="20"/>
          <w:color w:val="222222"/>
        </w:rPr>
        <w:t xml:space="preserve"> </w:t>
      </w:r>
      <w:r>
        <w:rPr>
          <w:rFonts w:ascii="Arial" w:cs="Arial" w:eastAsia="Arial" w:hAnsi="Arial"/>
          <w:sz w:val="20"/>
          <w:szCs w:val="20"/>
          <w:color w:val="000000"/>
        </w:rPr>
        <w:t>our recent results</w:t>
      </w:r>
      <w:r>
        <w:rPr>
          <w:rFonts w:ascii="Arial" w:cs="Arial" w:eastAsia="Arial" w:hAnsi="Arial"/>
          <w:sz w:val="20"/>
          <w:szCs w:val="20"/>
          <w:color w:val="222222"/>
        </w:rPr>
        <w:t>," said Matt Calkins, Founder and CEO, Appian.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2017 Financial Highlights:</w:t>
      </w:r>
    </w:p>
    <w:p>
      <w:pPr>
        <w:spacing w:after="0" w:line="351" w:lineRule="exact"/>
        <w:rPr>
          <w:sz w:val="20"/>
          <w:szCs w:val="20"/>
          <w:color w:val="auto"/>
        </w:rPr>
      </w:pPr>
    </w:p>
    <w:p>
      <w:pPr>
        <w:jc w:val="both"/>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Subscription revenue was $23.5 million for the fourth quarter of 2017, up 42% compared to the fourth quarter of 2016. Total</w:t>
      </w:r>
      <w:r>
        <w:rPr>
          <w:rFonts w:ascii="Arial" w:cs="Arial" w:eastAsia="Arial" w:hAnsi="Arial"/>
          <w:sz w:val="20"/>
          <w:szCs w:val="20"/>
          <w:b w:val="1"/>
          <w:bCs w:val="1"/>
          <w:color w:val="auto"/>
        </w:rPr>
        <w:t xml:space="preserve"> </w:t>
      </w:r>
      <w:r>
        <w:rPr>
          <w:rFonts w:ascii="Arial" w:cs="Arial" w:eastAsia="Arial" w:hAnsi="Arial"/>
          <w:sz w:val="20"/>
          <w:szCs w:val="20"/>
          <w:color w:val="auto"/>
        </w:rPr>
        <w:t>subscriptions, software and support revenue was $25.4 million for the fourth quarter of 2017, an increase of 31% year over year. Professional services revenue was $25.2 million for the fourth quarter of 2017, an increase of 75% year over year. Total revenue was $50.6 million for the fourth quarter of 2017, up 50% compared to the fourth quarter of 2016. Appian's subscription revenue retention rate was 122% as of December 31, 2017.</w:t>
      </w:r>
    </w:p>
    <w:p>
      <w:pPr>
        <w:spacing w:after="0" w:line="185" w:lineRule="exact"/>
        <w:rPr>
          <w:rFonts w:ascii="Arial" w:cs="Arial" w:eastAsia="Arial" w:hAnsi="Arial"/>
          <w:sz w:val="18"/>
          <w:szCs w:val="18"/>
          <w:color w:val="auto"/>
        </w:rPr>
      </w:pPr>
    </w:p>
    <w:p>
      <w:pPr>
        <w:jc w:val="both"/>
        <w:ind w:left="660" w:hanging="328"/>
        <w:spacing w:after="0" w:line="27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Operating loss and non-GAAP operating loss: </w:t>
      </w:r>
      <w:r>
        <w:rPr>
          <w:rFonts w:ascii="Arial" w:cs="Arial" w:eastAsia="Arial" w:hAnsi="Arial"/>
          <w:sz w:val="18"/>
          <w:szCs w:val="18"/>
          <w:color w:val="auto"/>
        </w:rPr>
        <w:t>GAAP operating loss was $(7.0) million for the fourth quarter of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$(1.8) million for the fourth quarter of 2016. Non-GAAP operating loss was $(4.9) million for the fourth quarter of 2017, compared to</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$(1.8) million for the fourth quarter of 2016.</w:t>
      </w:r>
    </w:p>
    <w:p>
      <w:pPr>
        <w:spacing w:after="0" w:line="193"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Net loss and non-GAAP net loss: </w:t>
      </w:r>
      <w:r>
        <w:rPr>
          <w:rFonts w:ascii="Arial" w:cs="Arial" w:eastAsia="Arial" w:hAnsi="Arial"/>
          <w:sz w:val="18"/>
          <w:szCs w:val="18"/>
          <w:color w:val="auto"/>
        </w:rPr>
        <w:t>GAAP net loss was $(6.9) million for the fourth quarter of 2017, compared to $(4.2)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2016. GAAP net loss per basic and diluted share attributable to common stockholders was $(0.11) for the fourth quarter of 2017 based on 60.4 million weighted average shares outstanding, compared to $(0.13) per basic and diluted share for the fourth quarter of 2016 based on 34.3 million weighted average shares outstanding. Non-GAAP net loss was $(4.8) million for the fourth quarter of 2017, compared to $(4.2) million for the fourth quarter of 2016. Non-GAAP net loss per basic and diluted share was $(0.08) for the fourth quarter of 2017, based on 60.4 million weighted average shares outstanding, compared to $(0.08) basic and diluted share for the fourth quarter of 2016, based on 52.4 million weighted average shares outstanding.</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2017 Financial Highlights:</w:t>
      </w:r>
    </w:p>
    <w:p>
      <w:pPr>
        <w:spacing w:after="0" w:line="135" w:lineRule="exact"/>
        <w:rPr>
          <w:sz w:val="20"/>
          <w:szCs w:val="20"/>
          <w:color w:val="auto"/>
        </w:rPr>
      </w:pPr>
    </w:p>
    <w:p>
      <w:pPr>
        <w:jc w:val="both"/>
        <w:ind w:left="660"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Subscription revenue was $82.8 million for the full year of 2017, up 38% compared to the full year 2016. Total</w:t>
      </w:r>
      <w:r>
        <w:rPr>
          <w:rFonts w:ascii="Arial" w:cs="Arial" w:eastAsia="Arial" w:hAnsi="Arial"/>
          <w:sz w:val="20"/>
          <w:szCs w:val="20"/>
          <w:b w:val="1"/>
          <w:bCs w:val="1"/>
          <w:color w:val="auto"/>
        </w:rPr>
        <w:t xml:space="preserve"> </w:t>
      </w:r>
      <w:r>
        <w:rPr>
          <w:rFonts w:ascii="Arial" w:cs="Arial" w:eastAsia="Arial" w:hAnsi="Arial"/>
          <w:sz w:val="20"/>
          <w:szCs w:val="20"/>
          <w:color w:val="auto"/>
        </w:rPr>
        <w:t>subscriptions, software and support revenue was $91.5 million for the full year 2017, an increase of 31% from the prior year. Professional services revenue was $85.2 million for the full year 2017, an increase of 35% from the prior year. Total revenue was $176.7 million for the full year 2017, up 33% compared to the full year 2016.</w:t>
      </w:r>
    </w:p>
    <w:p>
      <w:pPr>
        <w:sectPr>
          <w:pgSz w:w="11900" w:h="16838" w:orient="portrait"/>
          <w:cols w:equalWidth="0" w:num="1">
            <w:col w:w="11420"/>
          </w:cols>
          <w:pgMar w:left="240" w:top="116" w:right="239" w:bottom="1440" w:gutter="0" w:footer="0" w:header="0"/>
        </w:sectPr>
      </w:pPr>
    </w:p>
    <w:bookmarkStart w:id="4" w:name="page5"/>
    <w:bookmarkEnd w:id="4"/>
    <w:p>
      <w:pPr>
        <w:jc w:val="both"/>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Operating loss and non-GAAP operating loss: </w:t>
      </w:r>
      <w:r>
        <w:rPr>
          <w:rFonts w:ascii="Arial" w:cs="Arial" w:eastAsia="Arial" w:hAnsi="Arial"/>
          <w:sz w:val="20"/>
          <w:szCs w:val="20"/>
          <w:color w:val="auto"/>
        </w:rPr>
        <w:t>GAAP operating loss was $(31.8) million for the full year 2017, compared to $(11.4)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full year 2016. Non-GAAP operating loss was $(18.8) million for the year 2017, compared to $(11.4) million for the full year 2016.</w:t>
      </w:r>
    </w:p>
    <w:p>
      <w:pPr>
        <w:spacing w:after="0" w:line="177"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Net loss and non-GAAP net loss: </w:t>
      </w:r>
      <w:r>
        <w:rPr>
          <w:rFonts w:ascii="Arial" w:cs="Arial" w:eastAsia="Arial" w:hAnsi="Arial"/>
          <w:sz w:val="20"/>
          <w:szCs w:val="20"/>
          <w:color w:val="auto"/>
        </w:rPr>
        <w:t>GAAP net loss was $(31.0) million for the full year 2017, compared to $(12.5) million for the full</w:t>
      </w:r>
      <w:r>
        <w:rPr>
          <w:rFonts w:ascii="Arial" w:cs="Arial" w:eastAsia="Arial" w:hAnsi="Arial"/>
          <w:sz w:val="20"/>
          <w:szCs w:val="20"/>
          <w:b w:val="1"/>
          <w:bCs w:val="1"/>
          <w:color w:val="auto"/>
        </w:rPr>
        <w:t xml:space="preserve"> </w:t>
      </w:r>
      <w:r>
        <w:rPr>
          <w:rFonts w:ascii="Arial" w:cs="Arial" w:eastAsia="Arial" w:hAnsi="Arial"/>
          <w:sz w:val="20"/>
          <w:szCs w:val="20"/>
          <w:color w:val="auto"/>
        </w:rPr>
        <w:t>year 2016. GAAP net loss per basic and diluted share attributable to common stockholders was $(0.63) for the year 2017 based on 49.5 million weighted average shares outstanding, compared to $(0.39) per basic and diluted share for the full year 2016 based on 34.3 million weighted average shares outstanding. Non-GAAP net loss was $(17.3) million for the full year 2017, compared to $(12.3) million for the full year 2016. Non-GAAP net loss per basic and diluted share was $(0.30) for the full year 2017, based on 57.0 million weighted average shares outstanding, compared to $(0.23) basic and diluted share for the full year 2016, based on 52.4 million weighted average shares outstanding.</w:t>
      </w:r>
    </w:p>
    <w:p>
      <w:pPr>
        <w:spacing w:after="0" w:line="186"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Balance sheet and cash flows: </w:t>
      </w:r>
      <w:r>
        <w:rPr>
          <w:rFonts w:ascii="Arial" w:cs="Arial" w:eastAsia="Arial" w:hAnsi="Arial"/>
          <w:sz w:val="20"/>
          <w:szCs w:val="20"/>
          <w:color w:val="auto"/>
        </w:rPr>
        <w:t>As of December 31, 2017, Appian had cash and cash equivalents of $73.8 million. For the fourth</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2017, cash flow generated from operations was $1.0 million, compared with $0.1 million in the fourth quarter of 2016. Cash used in operating activities was $(9.2) million for the twelve months ended December 31, 2017, compared to $(7.8) million for the same period in 2016.</w:t>
      </w:r>
    </w:p>
    <w:p>
      <w:pPr>
        <w:spacing w:after="0" w:line="190" w:lineRule="exact"/>
        <w:rPr>
          <w:sz w:val="20"/>
          <w:szCs w:val="20"/>
          <w:color w:val="auto"/>
        </w:rPr>
      </w:pPr>
    </w:p>
    <w:p>
      <w:pPr>
        <w:ind w:left="340" w:right="20"/>
        <w:spacing w:after="0" w:line="287" w:lineRule="auto"/>
        <w:rPr>
          <w:sz w:val="20"/>
          <w:szCs w:val="20"/>
          <w:color w:val="auto"/>
        </w:rPr>
      </w:pPr>
      <w:r>
        <w:rPr>
          <w:rFonts w:ascii="Arial" w:cs="Arial" w:eastAsia="Arial" w:hAnsi="Arial"/>
          <w:sz w:val="19"/>
          <w:szCs w:val="19"/>
          <w:color w:val="auto"/>
        </w:rPr>
        <w:t>A reconciliation of GAAP to non-GAAP financial measures has been provided in the tables following the financial statements in this press release. An explanation of these measures is also included below under the heading “Non-GAAP Financial Measures.”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35" w:lineRule="exact"/>
        <w:rPr>
          <w:sz w:val="20"/>
          <w:szCs w:val="20"/>
          <w:color w:val="auto"/>
        </w:rPr>
      </w:pPr>
    </w:p>
    <w:p>
      <w:pPr>
        <w:ind w:left="660" w:right="340" w:hanging="328"/>
        <w:spacing w:after="0" w:line="297"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8"/>
          <w:szCs w:val="18"/>
          <w:color w:val="auto"/>
        </w:rPr>
        <w:t>Appian announced that it has been positioned by Gartner, Inc. in the "Leaders" quadrant in the new "Magic Quadrant for Intelligent Business Process Management Suites." For the third year in a row, Appian has been positioned as a "leader" in this evaluation.</w:t>
      </w:r>
    </w:p>
    <w:p>
      <w:pPr>
        <w:ind w:left="660" w:right="80" w:hanging="328"/>
        <w:spacing w:after="0" w:line="25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Appian and Luxoft announced a global partnership to deliver end-to-end, low-code solutions to Life Sciences companies around the world. Luxoft will leverage its IT integration expertise, experience of providing IT services to major pharmaceutical companies and 42 global delivery centers to help companies implement the Appian platform.</w:t>
      </w:r>
    </w:p>
    <w:p>
      <w:pPr>
        <w:spacing w:after="0" w:line="24"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Appian announced that Aviva is leveraging Appian to deliver on Digital Transformation Initiatives. With the Appian platform, Aviva is anchoring around the customer, removing complexities and streamlining operations.</w:t>
      </w:r>
    </w:p>
    <w:p>
      <w:pPr>
        <w:spacing w:after="0" w:line="14" w:lineRule="exact"/>
        <w:rPr>
          <w:rFonts w:ascii="Arial" w:cs="Arial" w:eastAsia="Arial" w:hAnsi="Arial"/>
          <w:sz w:val="20"/>
          <w:szCs w:val="20"/>
          <w:color w:val="auto"/>
        </w:rPr>
      </w:pPr>
    </w:p>
    <w:p>
      <w:pPr>
        <w:ind w:left="660" w:right="180" w:hanging="328"/>
        <w:spacing w:after="0" w:line="246"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Appian announced that SDL selected Appian to automate and digitize its core language services business in support of the company’s digital transformation strategy. Using Appian’s low-code development platform in the cloud enables SDL to rapidly unify data from across systems and processes, and present them through a single intuitive interface, resulting in significant improvements in customer experience.</w:t>
      </w:r>
    </w:p>
    <w:p>
      <w:pPr>
        <w:spacing w:after="0" w:line="29" w:lineRule="exact"/>
        <w:rPr>
          <w:rFonts w:ascii="Arial" w:cs="Arial" w:eastAsia="Arial" w:hAnsi="Arial"/>
          <w:sz w:val="20"/>
          <w:szCs w:val="20"/>
          <w:color w:val="auto"/>
        </w:rPr>
      </w:pPr>
    </w:p>
    <w:p>
      <w:pPr>
        <w:ind w:left="660" w:right="500" w:hanging="328"/>
        <w:spacing w:after="0" w:line="26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Appian extended its market leading Low-Code design experience in the latest version of the Appian platform with patent pending intelligent and automatic parallelization for multi-core processing.</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As of February 22, 2018, guidance for the first quarter 2018 and full year 2018 is as follows: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2018 Guidance</w:t>
      </w:r>
      <w:r>
        <w:rPr>
          <w:rFonts w:ascii="Arial" w:cs="Arial" w:eastAsia="Arial" w:hAnsi="Arial"/>
          <w:sz w:val="20"/>
          <w:szCs w:val="20"/>
          <w:color w:val="auto"/>
        </w:rPr>
        <w:t>:</w:t>
      </w:r>
    </w:p>
    <w:p>
      <w:pPr>
        <w:spacing w:after="0" w:line="22" w:lineRule="exact"/>
        <w:rPr>
          <w:sz w:val="20"/>
          <w:szCs w:val="20"/>
          <w:color w:val="auto"/>
        </w:rPr>
      </w:pPr>
    </w:p>
    <w:p>
      <w:pPr>
        <w:ind w:left="66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Subscription revenue is expected to be in the range of $24.4 million and $24.6 million, representing year-over-year growth of between 30% and 31%.</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Total revenue is expected to be in the range of $46.0 million and $46.2 million, representing year-over-year growth of between 20% and 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Non-GAAP operating loss is expected to be in the range of $(10.9) million and $(10.5) million.</w:t>
      </w:r>
    </w:p>
    <w:p>
      <w:pPr>
        <w:ind w:left="660" w:hanging="328"/>
        <w:spacing w:after="0" w:line="24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Non-GAAP net loss per basic and diluted share is expected to be in the range of $(0.18) and $(0.17). This assumes 60.6 million weighted average common shares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2018 Guidance</w:t>
      </w:r>
      <w:r>
        <w:rPr>
          <w:rFonts w:ascii="Arial" w:cs="Arial" w:eastAsia="Arial" w:hAnsi="Arial"/>
          <w:sz w:val="20"/>
          <w:szCs w:val="20"/>
          <w:color w:val="auto"/>
        </w:rPr>
        <w:t>:</w:t>
      </w:r>
    </w:p>
    <w:p>
      <w:pPr>
        <w:sectPr>
          <w:pgSz w:w="11900" w:h="16838" w:orient="portrait"/>
          <w:cols w:equalWidth="0" w:num="1">
            <w:col w:w="11420"/>
          </w:cols>
          <w:pgMar w:left="240" w:top="576" w:right="239" w:bottom="1440" w:gutter="0" w:footer="0" w:header="0"/>
        </w:sectPr>
      </w:pPr>
    </w:p>
    <w:bookmarkStart w:id="5" w:name="page6"/>
    <w:bookmarkEnd w:id="5"/>
    <w:p>
      <w:pPr>
        <w:ind w:left="660" w:hanging="328"/>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Subscription revenue is expected to be in the range of $106.5 million and $107.5 million, representing year-over-year growth of between 29% and 30%.</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Total revenue is expected to be in the range of $198.1 million and $201.1 million, representing year-over-year growth of between 12% and 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Non-GAAP operating loss is expected to be in the range of $(39.9) million and $(37.9) million.</w:t>
      </w:r>
    </w:p>
    <w:p>
      <w:pPr>
        <w:ind w:left="660" w:hanging="328"/>
        <w:spacing w:after="0" w:line="24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Non-GAAP net loss per basic and diluted share is expected to be in the range of $(0.65) and $(0.62). This assumes 61.1 million non-GAAP weighted average common shares outstanding.</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Details:</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Appian will host a conference call today, February 22, 2018, at 5:00 p.m. ET to discuss the Company’s financial results for the fourth quarter and full year ended December 31, 2017 and business outlook.</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live webcast of the conference call can be accessed on the Investor Relations page of the Company’s website at http://investors.appian.com. To access the call, please dial (877) 407-0792 in the U.S. or (201) 689-8263 internationally. Following the call, an archived webcast will be available at the same location on the Investor Relations page. A telephone replay will be available for one week at (844) 512-2921 in the U.S. or (412) 317-6671 internationally with recording access code 13675183.</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Appian</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Appian provides a leading low-code software development </w:t>
      </w:r>
      <w:r>
        <w:rPr>
          <w:rFonts w:ascii="Arial" w:cs="Arial" w:eastAsia="Arial" w:hAnsi="Arial"/>
          <w:sz w:val="20"/>
          <w:szCs w:val="20"/>
          <w:color w:val="333333"/>
        </w:rPr>
        <w:t>and business process management (BPM)</w:t>
      </w:r>
      <w:r>
        <w:rPr>
          <w:rFonts w:ascii="Arial" w:cs="Arial" w:eastAsia="Arial" w:hAnsi="Arial"/>
          <w:sz w:val="20"/>
          <w:szCs w:val="20"/>
          <w:color w:val="auto"/>
        </w:rPr>
        <w:t xml:space="preserve"> platform that enables organizations to rapidly develop powerful and unique applications. The applications created on Appian’s platform help companies drive digital transformation and competitive differentiation. For more information, visit www.appian.com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GAAP, Appian provides investors with certain non-GAAP financial measures, including non-GAAP operating loss, non-GAAP net loss, non-GAAP net loss per share and non-GAAP weighted average shares outstanding. The presentation of these non-GAAP financial measures is not intended to be considered in isolation or as a substitute for, or superior to, the financial information prepared and presented in accordance with GAAP, and Appian’s non-GAAP measures may be different from non-GAAP measures used by other companies. For more information on these non-GAAP financial measures, please see the reconciliation of these non-GAAP financial measures to their nearest comparable GAAP measures at the end of this press release.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Appian uses these non-GAAP financial measures for financial and operational decision-making and as a means to evaluate period-to-period comparisons. Appian’s management believes that these non-GAAP financial measures provide meaningful supplemental information regarding Appian’s performance by excluding certain expenses that may not be indicative of its recurring core business operating results. Appian believes that both management and investors benefit from referring to these non-GAAP financial measures in assessing Appian’s performance and when planning, forecasting, and analyzing future periods. These non-GAAP financial measures also facilitate management’s internal comparisons to historical performance as well as comparisons to competitors’ operating results. Appian believes these non-GAAP financial measures are useful to investors both because (1) they allow for greater transparency with respect to measures used by management in its financial and operational decision-making and (2) they are used by Appian’s institutional investors and the analyst community to help them analyze the health of Appian’s business.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This press release includes forward-looking statements. All statements contained in this press release other than statements of historical facts, including statements regarding Appian’s future financial and business performance for the first quarter and full-year 2018, future investment by Appian in its go-to-market initiatives, increased demand for the Appian platform, market opportunity and plans and objectives for future operations, including Appian’s ability to drive continued subscription revenue and total revenue growth, are forward-looking statements. The words "anticipate," believe," "continue," "estimate," "expect," "intend," "may," "will" and similar expressions are intended to identify forward-looking statements. Appian has based these forward-looking statements on its current expectations and projections about future events and financial trends that Appian believes may affect its financial condition, results of operations, business strategy, short-term and long-term</w:t>
      </w:r>
    </w:p>
    <w:p>
      <w:pPr>
        <w:sectPr>
          <w:pgSz w:w="11900" w:h="16838" w:orient="portrait"/>
          <w:cols w:equalWidth="0" w:num="1">
            <w:col w:w="11420"/>
          </w:cols>
          <w:pgMar w:left="240" w:top="366" w:right="2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8"/>
          <w:szCs w:val="18"/>
          <w:color w:val="auto"/>
        </w:rPr>
        <w:t>business operations and objectives and financial needs. These forward-looking statements are subject to a number of risks and uncertainties, including the risks and uncertainties associated with Appian’s ability to grow its business and manage its growth, Appian’s ability to sustain its revenue growth rate, continued market acceptance of Appian’s platform and adoption of low-code solutions to drive digital transformation, the fluctuation of Appian’s operating results due to the length and variability of its sales cycle, competition in the markets in which Appian operates, risks and uncertainties associated with the composition and concentration of Appian’s customer base and their demand for its platform and satisfaction with the services provided by Appian, the potential fluctuation of Appian’s future quarterly results of operations, Appian’s ability to shift its revenue towards subscriptions and away from professional services, Appian’s ability to operate in compliance with applicable laws and regulations, Appian’s strategic relationships with third parties and use of third-party licensed software and its platform’s compatibility with third-party applications, and the timing of Appian’s recognition of subscription revenue which may delay the effect of near term changes in sales on its operating results, and the additional risks and uncertainties set forth in the "Risk Factors" section of Appian’s Quarterly Report on Form 10-Q for the quarter ended September 30, 2017 filed with the Securities and Exchange Commission on November 2, 2017 and other reports that Appian has filed with the Securities and Exchange Commission. Moreover, Appian operates in a very competitive and rapidly changing environment. New risks emerge from time to time. It is not possible for Appian’s management to predict all risks, nor can Appian assess the impact of all factors on its business or the extent to which any factor, or combination of factors, may cause actual results to differ materially from those contained in any forward-looking statements Appian may make. In light of these risks, uncertainties and assumptions, Appian cannot guarantee future results, levels of activity, performance, achievements or events and circumstances reflected in the forward-looking statements will occur. Appian is under no duty to update any of these forward-looking statements after the date of this press release to conform these statements to actual results or revised expectations, except as required by law.</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Staci Mortenson</w:t>
      </w:r>
    </w:p>
    <w:p>
      <w:pPr>
        <w:spacing w:after="0"/>
        <w:rPr>
          <w:sz w:val="20"/>
          <w:szCs w:val="20"/>
          <w:color w:val="auto"/>
        </w:rPr>
      </w:pPr>
      <w:r>
        <w:rPr>
          <w:rFonts w:ascii="Arial" w:cs="Arial" w:eastAsia="Arial" w:hAnsi="Arial"/>
          <w:sz w:val="20"/>
          <w:szCs w:val="20"/>
          <w:color w:val="auto"/>
        </w:rPr>
        <w:t>ICR for Appian</w:t>
      </w:r>
    </w:p>
    <w:p>
      <w:pPr>
        <w:spacing w:after="0"/>
        <w:rPr>
          <w:sz w:val="20"/>
          <w:szCs w:val="20"/>
          <w:color w:val="auto"/>
        </w:rPr>
      </w:pPr>
      <w:r>
        <w:rPr>
          <w:rFonts w:ascii="Arial" w:cs="Arial" w:eastAsia="Arial" w:hAnsi="Arial"/>
          <w:sz w:val="20"/>
          <w:szCs w:val="20"/>
          <w:color w:val="auto"/>
        </w:rPr>
        <w:t>703-442-1091</w:t>
      </w:r>
    </w:p>
    <w:p>
      <w:pPr>
        <w:spacing w:after="0"/>
        <w:rPr>
          <w:sz w:val="20"/>
          <w:szCs w:val="20"/>
          <w:color w:val="auto"/>
        </w:rPr>
      </w:pPr>
      <w:r>
        <w:rPr>
          <w:rFonts w:ascii="Arial" w:cs="Arial" w:eastAsia="Arial" w:hAnsi="Arial"/>
          <w:sz w:val="20"/>
          <w:szCs w:val="20"/>
          <w:u w:val="single" w:color="auto"/>
          <w:color w:val="0563C1"/>
        </w:rPr>
        <w:t>investors@appian.com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Nicole Greggs</w:t>
      </w:r>
    </w:p>
    <w:p>
      <w:pPr>
        <w:spacing w:after="0"/>
        <w:rPr>
          <w:sz w:val="20"/>
          <w:szCs w:val="20"/>
          <w:color w:val="auto"/>
        </w:rPr>
      </w:pPr>
      <w:r>
        <w:rPr>
          <w:rFonts w:ascii="Arial" w:cs="Arial" w:eastAsia="Arial" w:hAnsi="Arial"/>
          <w:sz w:val="20"/>
          <w:szCs w:val="20"/>
          <w:color w:val="auto"/>
        </w:rPr>
        <w:t>Director, Media Relations</w:t>
      </w:r>
    </w:p>
    <w:p>
      <w:pPr>
        <w:spacing w:after="0"/>
        <w:rPr>
          <w:sz w:val="20"/>
          <w:szCs w:val="20"/>
          <w:color w:val="auto"/>
        </w:rPr>
      </w:pPr>
      <w:r>
        <w:rPr>
          <w:rFonts w:ascii="Arial" w:cs="Arial" w:eastAsia="Arial" w:hAnsi="Arial"/>
          <w:sz w:val="20"/>
          <w:szCs w:val="20"/>
          <w:color w:val="auto"/>
        </w:rPr>
        <w:t>703-260-7868</w:t>
      </w:r>
    </w:p>
    <w:p>
      <w:pPr>
        <w:spacing w:after="0"/>
        <w:rPr>
          <w:sz w:val="20"/>
          <w:szCs w:val="20"/>
          <w:color w:val="auto"/>
        </w:rPr>
      </w:pPr>
      <w:r>
        <w:rPr>
          <w:rFonts w:ascii="Arial" w:cs="Arial" w:eastAsia="Arial" w:hAnsi="Arial"/>
          <w:sz w:val="20"/>
          <w:szCs w:val="20"/>
          <w:u w:val="single" w:color="auto"/>
          <w:color w:val="0563C1"/>
        </w:rPr>
        <w:t>nicole.greggs@appian.com</w:t>
      </w:r>
    </w:p>
    <w:p>
      <w:pPr>
        <w:sectPr>
          <w:pgSz w:w="11900" w:h="16838" w:orient="portrait"/>
          <w:cols w:equalWidth="0" w:num="1">
            <w:col w:w="11420"/>
          </w:cols>
          <w:pgMar w:left="240" w:top="366" w:right="239" w:bottom="1440" w:gutter="0" w:footer="0" w:header="0"/>
        </w:sectPr>
      </w:pPr>
    </w:p>
    <w:bookmarkStart w:id="7" w:name="page8"/>
    <w:bookmarkEnd w:id="7"/>
    <w:p>
      <w:pPr>
        <w:ind w:left="3500"/>
        <w:spacing w:after="0"/>
        <w:rPr>
          <w:sz w:val="20"/>
          <w:szCs w:val="20"/>
          <w:color w:val="auto"/>
        </w:rPr>
      </w:pPr>
      <w:r>
        <w:rPr>
          <w:rFonts w:ascii="Arial" w:cs="Arial" w:eastAsia="Arial" w:hAnsi="Arial"/>
          <w:sz w:val="18"/>
          <w:szCs w:val="18"/>
          <w:b w:val="1"/>
          <w:bCs w:val="1"/>
          <w:color w:val="auto"/>
        </w:rPr>
        <w:t>APPIAN CORPORATION AND SUBSIDIARIES</w:t>
      </w:r>
    </w:p>
    <w:p>
      <w:pPr>
        <w:spacing w:after="0" w:line="3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As of</w:t>
            </w:r>
          </w:p>
        </w:tc>
        <w:tc>
          <w:tcPr>
            <w:tcW w:w="160" w:type="dxa"/>
            <w:vAlign w:val="bottom"/>
          </w:tcPr>
          <w:p>
            <w:pPr>
              <w:spacing w:after="0"/>
              <w:rPr>
                <w:sz w:val="14"/>
                <w:szCs w:val="14"/>
                <w:color w:val="auto"/>
              </w:rPr>
            </w:pPr>
          </w:p>
        </w:tc>
        <w:tc>
          <w:tcPr>
            <w:tcW w:w="1240" w:type="dxa"/>
            <w:vAlign w:val="bottom"/>
          </w:tcPr>
          <w:p>
            <w:pPr>
              <w:jc w:val="right"/>
              <w:ind w:right="463"/>
              <w:spacing w:after="0"/>
              <w:rPr>
                <w:sz w:val="20"/>
                <w:szCs w:val="20"/>
                <w:color w:val="auto"/>
              </w:rPr>
            </w:pPr>
            <w:r>
              <w:rPr>
                <w:rFonts w:ascii="Arial" w:cs="Arial" w:eastAsia="Arial" w:hAnsi="Arial"/>
                <w:sz w:val="15"/>
                <w:szCs w:val="15"/>
                <w:b w:val="1"/>
                <w:bCs w:val="1"/>
                <w:color w:val="auto"/>
              </w:rPr>
              <w:t>As of</w:t>
            </w:r>
          </w:p>
        </w:tc>
      </w:tr>
      <w:tr>
        <w:trPr>
          <w:trHeight w:val="162"/>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line="162"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1240" w:type="dxa"/>
            <w:vAlign w:val="bottom"/>
          </w:tcPr>
          <w:p>
            <w:pPr>
              <w:jc w:val="right"/>
              <w:ind w:right="203"/>
              <w:spacing w:after="0" w:line="162" w:lineRule="exact"/>
              <w:rPr>
                <w:sz w:val="20"/>
                <w:szCs w:val="20"/>
                <w:color w:val="auto"/>
              </w:rPr>
            </w:pPr>
            <w:r>
              <w:rPr>
                <w:rFonts w:ascii="Arial" w:cs="Arial" w:eastAsia="Arial" w:hAnsi="Arial"/>
                <w:sz w:val="15"/>
                <w:szCs w:val="15"/>
                <w:b w:val="1"/>
                <w:bCs w:val="1"/>
                <w:color w:val="auto"/>
                <w:w w:val="96"/>
              </w:rPr>
              <w:t>December 31,</w:t>
            </w:r>
          </w:p>
        </w:tc>
      </w:tr>
      <w:tr>
        <w:trPr>
          <w:trHeight w:val="202"/>
        </w:trPr>
        <w:tc>
          <w:tcPr>
            <w:tcW w:w="7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89"/>
              </w:rPr>
              <w:t>2017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2016</w:t>
            </w:r>
          </w:p>
        </w:tc>
      </w:tr>
      <w:tr>
        <w:trPr>
          <w:trHeight w:val="264"/>
        </w:trPr>
        <w:tc>
          <w:tcPr>
            <w:tcW w:w="7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(unaudited)</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4"/>
        </w:trPr>
        <w:tc>
          <w:tcPr>
            <w:tcW w:w="7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73,758</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31,143</w:t>
            </w:r>
          </w:p>
        </w:tc>
      </w:tr>
      <w:tr>
        <w:trPr>
          <w:trHeight w:val="266"/>
        </w:trPr>
        <w:tc>
          <w:tcPr>
            <w:tcW w:w="7920" w:type="dxa"/>
            <w:vAlign w:val="bottom"/>
          </w:tcPr>
          <w:p>
            <w:pPr>
              <w:ind w:left="260"/>
              <w:spacing w:after="0"/>
              <w:rPr>
                <w:sz w:val="20"/>
                <w:szCs w:val="20"/>
                <w:color w:val="auto"/>
              </w:rPr>
            </w:pPr>
            <w:r>
              <w:rPr>
                <w:rFonts w:ascii="Arial" w:cs="Arial" w:eastAsia="Arial" w:hAnsi="Arial"/>
                <w:sz w:val="15"/>
                <w:szCs w:val="15"/>
                <w:color w:val="auto"/>
              </w:rPr>
              <w:t>Accounts receivable, net of allowance of $400</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55,315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46,814</w:t>
            </w:r>
          </w:p>
        </w:tc>
      </w:tr>
      <w:tr>
        <w:trPr>
          <w:trHeight w:val="274"/>
        </w:trPr>
        <w:tc>
          <w:tcPr>
            <w:tcW w:w="7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commissions, current</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9,117</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7,146</w:t>
            </w:r>
          </w:p>
        </w:tc>
      </w:tr>
      <w:tr>
        <w:trPr>
          <w:trHeight w:val="266"/>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7,032</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3,281</w:t>
            </w:r>
          </w:p>
        </w:tc>
      </w:tr>
      <w:tr>
        <w:trPr>
          <w:trHeight w:val="254"/>
        </w:trPr>
        <w:tc>
          <w:tcPr>
            <w:tcW w:w="7920" w:type="dxa"/>
            <w:vAlign w:val="bottom"/>
            <w:shd w:val="clear" w:color="auto" w:fill="CFF0FC"/>
          </w:tcPr>
          <w:p>
            <w:pPr>
              <w:ind w:left="480"/>
              <w:spacing w:after="0"/>
              <w:rPr>
                <w:sz w:val="20"/>
                <w:szCs w:val="20"/>
                <w:color w:val="auto"/>
              </w:rPr>
            </w:pPr>
            <w:r>
              <w:rPr>
                <w:rFonts w:ascii="Arial" w:cs="Arial" w:eastAsia="Arial" w:hAnsi="Arial"/>
                <w:sz w:val="15"/>
                <w:szCs w:val="15"/>
                <w:b w:val="1"/>
                <w:bCs w:val="1"/>
                <w:color w:val="auto"/>
              </w:rPr>
              <w:t>Total current assets</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145,222</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88,384</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2,663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3,101</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commissions, net of current portion</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12,376</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10,860</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12</w:t>
            </w:r>
          </w:p>
        </w:tc>
      </w:tr>
      <w:tr>
        <w:trPr>
          <w:trHeight w:val="270"/>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rPr>
              <w:t>510</w:t>
            </w:r>
          </w:p>
        </w:tc>
        <w:tc>
          <w:tcPr>
            <w:tcW w:w="1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rPr>
              <w:t>381</w:t>
            </w:r>
          </w:p>
        </w:tc>
      </w:tr>
      <w:tr>
        <w:trPr>
          <w:trHeight w:val="281"/>
        </w:trPr>
        <w:tc>
          <w:tcPr>
            <w:tcW w:w="7920" w:type="dxa"/>
            <w:vAlign w:val="bottom"/>
            <w:tcBorders>
              <w:bottom w:val="single" w:sz="8" w:color="CFF0FC"/>
            </w:tcBorders>
          </w:tcPr>
          <w:p>
            <w:pPr>
              <w:ind w:left="2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161,052</w:t>
            </w:r>
          </w:p>
        </w:tc>
        <w:tc>
          <w:tcPr>
            <w:tcW w:w="1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102,738</w:t>
            </w:r>
          </w:p>
        </w:tc>
      </w:tr>
      <w:tr>
        <w:trPr>
          <w:trHeight w:val="251"/>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Liabilities, Convertible Preferred Stock and Stockholders’ Equity (Deficit)</w:t>
            </w: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4"/>
        </w:trPr>
        <w:tc>
          <w:tcPr>
            <w:tcW w:w="7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5,226</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5,057</w:t>
            </w:r>
          </w:p>
        </w:tc>
      </w:tr>
      <w:tr>
        <w:trPr>
          <w:trHeight w:val="266"/>
        </w:trPr>
        <w:tc>
          <w:tcPr>
            <w:tcW w:w="792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6,467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2,860</w:t>
            </w:r>
          </w:p>
        </w:tc>
      </w:tr>
      <w:tr>
        <w:trPr>
          <w:trHeight w:val="274"/>
        </w:trPr>
        <w:tc>
          <w:tcPr>
            <w:tcW w:w="7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compensation and related benefits</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12,075</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9,554</w:t>
            </w:r>
          </w:p>
        </w:tc>
      </w:tr>
      <w:tr>
        <w:trPr>
          <w:trHeight w:val="266"/>
        </w:trPr>
        <w:tc>
          <w:tcPr>
            <w:tcW w:w="7920" w:type="dxa"/>
            <w:vAlign w:val="bottom"/>
          </w:tcPr>
          <w:p>
            <w:pPr>
              <w:ind w:left="260"/>
              <w:spacing w:after="0"/>
              <w:rPr>
                <w:sz w:val="20"/>
                <w:szCs w:val="20"/>
                <w:color w:val="auto"/>
              </w:rPr>
            </w:pPr>
            <w:r>
              <w:rPr>
                <w:rFonts w:ascii="Arial" w:cs="Arial" w:eastAsia="Arial" w:hAnsi="Arial"/>
                <w:sz w:val="15"/>
                <w:szCs w:val="15"/>
                <w:color w:val="auto"/>
              </w:rPr>
              <w:t>Deferred revenue, current</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70,165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52,000</w:t>
            </w:r>
          </w:p>
        </w:tc>
      </w:tr>
      <w:tr>
        <w:trPr>
          <w:trHeight w:val="274"/>
        </w:trPr>
        <w:tc>
          <w:tcPr>
            <w:tcW w:w="7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Current portion of long-term debt</w:t>
            </w:r>
          </w:p>
        </w:tc>
        <w:tc>
          <w:tcPr>
            <w:tcW w:w="16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6,111</w:t>
            </w:r>
          </w:p>
        </w:tc>
      </w:tr>
      <w:tr>
        <w:trPr>
          <w:trHeight w:val="266"/>
        </w:trPr>
        <w:tc>
          <w:tcPr>
            <w:tcW w:w="79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current liabilities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1,182</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437</w:t>
            </w:r>
          </w:p>
        </w:tc>
      </w:tr>
      <w:tr>
        <w:trPr>
          <w:trHeight w:val="254"/>
        </w:trPr>
        <w:tc>
          <w:tcPr>
            <w:tcW w:w="7920" w:type="dxa"/>
            <w:vAlign w:val="bottom"/>
            <w:shd w:val="clear" w:color="auto" w:fill="CFF0FC"/>
          </w:tcPr>
          <w:p>
            <w:pPr>
              <w:ind w:left="480"/>
              <w:spacing w:after="0"/>
              <w:rPr>
                <w:sz w:val="20"/>
                <w:szCs w:val="20"/>
                <w:color w:val="auto"/>
              </w:rPr>
            </w:pPr>
            <w:r>
              <w:rPr>
                <w:rFonts w:ascii="Arial" w:cs="Arial" w:eastAsia="Arial" w:hAnsi="Arial"/>
                <w:sz w:val="15"/>
                <w:szCs w:val="15"/>
                <w:b w:val="1"/>
                <w:bCs w:val="1"/>
                <w:color w:val="auto"/>
              </w:rPr>
              <w:t>Total current liabilities</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95,115</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76,019</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color w:val="auto"/>
              </w:rPr>
              <w:t>Long-term debt, net of current portion</w:t>
            </w:r>
          </w:p>
        </w:tc>
        <w:tc>
          <w:tcPr>
            <w:tcW w:w="1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13,889</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liabilities</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87</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32</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color w:val="auto"/>
              </w:rPr>
              <w:t>Deferred revenue, net of current portion</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18,922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18,108</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Preferred stock warrant liability</w:t>
            </w:r>
          </w:p>
        </w:tc>
        <w:tc>
          <w:tcPr>
            <w:tcW w:w="16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850</w:t>
            </w:r>
          </w:p>
        </w:tc>
      </w:tr>
      <w:tr>
        <w:trPr>
          <w:trHeight w:val="266"/>
        </w:trPr>
        <w:tc>
          <w:tcPr>
            <w:tcW w:w="7920" w:type="dxa"/>
            <w:vAlign w:val="bottom"/>
            <w:tcBorders>
              <w:bottom w:val="single" w:sz="8" w:color="CFF0FC"/>
            </w:tcBorders>
          </w:tcPr>
          <w:p>
            <w:pPr>
              <w:ind w:left="20"/>
              <w:spacing w:after="0"/>
              <w:rPr>
                <w:sz w:val="20"/>
                <w:szCs w:val="20"/>
                <w:color w:val="auto"/>
              </w:rPr>
            </w:pPr>
            <w:r>
              <w:rPr>
                <w:rFonts w:ascii="Arial" w:cs="Arial" w:eastAsia="Arial" w:hAnsi="Arial"/>
                <w:sz w:val="15"/>
                <w:szCs w:val="15"/>
                <w:color w:val="auto"/>
              </w:rPr>
              <w:t>Other long-term liabilities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1,404</w:t>
            </w:r>
          </w:p>
        </w:tc>
        <w:tc>
          <w:tcPr>
            <w:tcW w:w="1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1,917</w:t>
            </w:r>
          </w:p>
        </w:tc>
      </w:tr>
      <w:tr>
        <w:trPr>
          <w:trHeight w:val="25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Total liabilities</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115,528</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110,815</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b w:val="1"/>
                <w:bCs w:val="1"/>
                <w:color w:val="auto"/>
              </w:rPr>
              <w:t>Convertible preferred stock</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80"/>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w w:val="92"/>
              </w:rPr>
              <w:t>Series A convertible preferred stock—par value $0.0001; no shares authorized, issued or outstanding as of December 31, 2017;</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2"/>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12,127,468 shares authorized and 12,043,108 shares issued and outstanding as of December 31, 2016</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17,915</w:t>
            </w:r>
          </w:p>
        </w:tc>
      </w:tr>
      <w:tr>
        <w:trPr>
          <w:trHeight w:val="176"/>
        </w:trPr>
        <w:tc>
          <w:tcPr>
            <w:tcW w:w="7920" w:type="dxa"/>
            <w:vAlign w:val="bottom"/>
          </w:tcPr>
          <w:p>
            <w:pPr>
              <w:ind w:left="20"/>
              <w:spacing w:after="0"/>
              <w:rPr>
                <w:sz w:val="20"/>
                <w:szCs w:val="20"/>
                <w:color w:val="auto"/>
              </w:rPr>
            </w:pPr>
            <w:r>
              <w:rPr>
                <w:rFonts w:ascii="Arial" w:cs="Arial" w:eastAsia="Arial" w:hAnsi="Arial"/>
                <w:sz w:val="15"/>
                <w:szCs w:val="15"/>
                <w:color w:val="auto"/>
                <w:w w:val="92"/>
              </w:rPr>
              <w:t>Series B convertible preferred stock—par value $0.0001; no shares authorized, issued or outstanding as of December 31, 2017;</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6,120,050 shares authorized, issued and outstanding as of December 31, 2016</w:t>
            </w:r>
          </w:p>
        </w:tc>
        <w:tc>
          <w:tcPr>
            <w:tcW w:w="1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37,500</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176"/>
        </w:trPr>
        <w:tc>
          <w:tcPr>
            <w:tcW w:w="7920" w:type="dxa"/>
            <w:vAlign w:val="bottom"/>
          </w:tcPr>
          <w:p>
            <w:pPr>
              <w:ind w:left="20"/>
              <w:spacing w:after="0"/>
              <w:rPr>
                <w:sz w:val="20"/>
                <w:szCs w:val="20"/>
                <w:color w:val="auto"/>
              </w:rPr>
            </w:pPr>
            <w:r>
              <w:rPr>
                <w:rFonts w:ascii="Arial" w:cs="Arial" w:eastAsia="Arial" w:hAnsi="Arial"/>
                <w:sz w:val="15"/>
                <w:szCs w:val="15"/>
                <w:color w:val="auto"/>
                <w:w w:val="93"/>
              </w:rPr>
              <w:t>Common stock—par value $0.0001; no shares authorized, issued or outstanding as of December 31, 2017; 61,462,320 shares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authorized and 34,274,718 shares issued and outstanding as of December 31, 2016</w:t>
            </w:r>
          </w:p>
        </w:tc>
        <w:tc>
          <w:tcPr>
            <w:tcW w:w="16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w:t>
            </w:r>
          </w:p>
        </w:tc>
      </w:tr>
      <w:tr>
        <w:trPr>
          <w:trHeight w:val="180"/>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w w:val="92"/>
              </w:rPr>
              <w:t>Class A common stock—par value $0.0001; 500,000,000 shares authorized and 13,030,081 shares issued and outstanding as of</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2"/>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December 31, 2017; no shares authorized, issued or outstanding as of December 31, 2016</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r>
      <w:tr>
        <w:trPr>
          <w:trHeight w:val="176"/>
        </w:trPr>
        <w:tc>
          <w:tcPr>
            <w:tcW w:w="7920" w:type="dxa"/>
            <w:vAlign w:val="bottom"/>
          </w:tcPr>
          <w:p>
            <w:pPr>
              <w:ind w:left="20"/>
              <w:spacing w:after="0"/>
              <w:rPr>
                <w:sz w:val="20"/>
                <w:szCs w:val="20"/>
                <w:color w:val="auto"/>
              </w:rPr>
            </w:pPr>
            <w:r>
              <w:rPr>
                <w:rFonts w:ascii="Arial" w:cs="Arial" w:eastAsia="Arial" w:hAnsi="Arial"/>
                <w:sz w:val="15"/>
                <w:szCs w:val="15"/>
                <w:color w:val="auto"/>
                <w:w w:val="92"/>
              </w:rPr>
              <w:t>Class B common stock—par value $0.0001; 100,000,000 shares authorized and 47,569,796 shares issued and outstanding as of</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December 31, 2017; no shares authorized, issued or outstanding as of December 31, 2016</w:t>
            </w:r>
          </w:p>
        </w:tc>
        <w:tc>
          <w:tcPr>
            <w:tcW w:w="16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141,268</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rPr>
              <w:t>—</w:t>
            </w:r>
          </w:p>
        </w:tc>
      </w:tr>
      <w:tr>
        <w:trPr>
          <w:trHeight w:val="266"/>
        </w:trPr>
        <w:tc>
          <w:tcPr>
            <w:tcW w:w="7920" w:type="dxa"/>
            <w:vAlign w:val="bottom"/>
          </w:tcPr>
          <w:p>
            <w:pPr>
              <w:ind w:left="20"/>
              <w:spacing w:after="0"/>
              <w:rPr>
                <w:sz w:val="20"/>
                <w:szCs w:val="20"/>
                <w:color w:val="auto"/>
              </w:rPr>
            </w:pPr>
            <w:r>
              <w:rPr>
                <w:rFonts w:ascii="Arial" w:cs="Arial" w:eastAsia="Arial" w:hAnsi="Arial"/>
                <w:sz w:val="15"/>
                <w:szCs w:val="15"/>
                <w:color w:val="auto"/>
              </w:rPr>
              <w:t>Accumulated other comprehensive income</w:t>
            </w: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439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1,330</w:t>
            </w:r>
          </w:p>
        </w:tc>
      </w:tr>
      <w:tr>
        <w:trPr>
          <w:trHeight w:val="274"/>
        </w:trPr>
        <w:tc>
          <w:tcPr>
            <w:tcW w:w="7920" w:type="dxa"/>
            <w:vAlign w:val="bottom"/>
            <w:shd w:val="clear" w:color="auto" w:fill="CFF0FC"/>
          </w:tcPr>
          <w:p>
            <w:pPr>
              <w:ind w:left="20"/>
              <w:spacing w:after="0"/>
              <w:rPr>
                <w:sz w:val="20"/>
                <w:szCs w:val="20"/>
                <w:color w:val="auto"/>
              </w:rPr>
            </w:pPr>
            <w:r>
              <w:rPr>
                <w:rFonts w:ascii="Arial" w:cs="Arial" w:eastAsia="Arial" w:hAnsi="Arial"/>
                <w:sz w:val="15"/>
                <w:szCs w:val="15"/>
                <w:color w:val="auto"/>
              </w:rPr>
              <w:t>Accumulated deficit</w:t>
            </w:r>
          </w:p>
        </w:tc>
        <w:tc>
          <w:tcPr>
            <w:tcW w:w="1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(96,189)</w:t>
            </w:r>
          </w:p>
        </w:tc>
        <w:tc>
          <w:tcPr>
            <w:tcW w:w="1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(64,825)</w:t>
            </w:r>
          </w:p>
        </w:tc>
      </w:tr>
      <w:tr>
        <w:trPr>
          <w:trHeight w:val="246"/>
        </w:trPr>
        <w:tc>
          <w:tcPr>
            <w:tcW w:w="7920" w:type="dxa"/>
            <w:vAlign w:val="bottom"/>
            <w:tcBorders>
              <w:bottom w:val="single" w:sz="8" w:color="CFF0FC"/>
            </w:tcBorders>
          </w:tcPr>
          <w:p>
            <w:pPr>
              <w:ind w:left="20"/>
              <w:spacing w:after="0"/>
              <w:rPr>
                <w:sz w:val="20"/>
                <w:szCs w:val="20"/>
                <w:color w:val="auto"/>
              </w:rPr>
            </w:pPr>
            <w:r>
              <w:rPr>
                <w:rFonts w:ascii="Arial" w:cs="Arial" w:eastAsia="Arial" w:hAnsi="Arial"/>
                <w:sz w:val="15"/>
                <w:szCs w:val="15"/>
                <w:b w:val="1"/>
                <w:bCs w:val="1"/>
                <w:color w:val="auto"/>
              </w:rPr>
              <w:t>Total stockholders’ equity (deficit)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45,524</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(63,492)</w:t>
            </w:r>
          </w:p>
        </w:tc>
      </w:tr>
      <w:tr>
        <w:trPr>
          <w:trHeight w:val="241"/>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Total liabilities, convertible preferred stock and stockholders’ equity (deficit)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rPr>
              <w:t>161,052</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rPr>
              <w:t>102,738</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40"/>
          </w:cols>
          <w:pgMar w:left="540" w:top="580"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220" w:type="dxa"/>
            <w:vAlign w:val="bottom"/>
          </w:tcPr>
          <w:p>
            <w:pPr>
              <w:spacing w:after="0"/>
              <w:rPr>
                <w:sz w:val="18"/>
                <w:szCs w:val="18"/>
                <w:color w:val="auto"/>
              </w:rPr>
            </w:pPr>
          </w:p>
        </w:tc>
        <w:tc>
          <w:tcPr>
            <w:tcW w:w="27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Subscriptions, software and support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25,398</w:t>
            </w:r>
          </w:p>
        </w:tc>
        <w:tc>
          <w:tcPr>
            <w:tcW w:w="12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19,365</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91,514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69,972</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25,164</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14,382</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85,223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62,951</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50,562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33,747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176,737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132,923</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Subscriptions, software and support</w:t>
            </w:r>
          </w:p>
        </w:tc>
        <w:tc>
          <w:tcPr>
            <w:tcW w:w="2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7,437</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16,169</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8,670</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55,218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42,686</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18,657</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64,597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50,123</w:t>
            </w:r>
          </w:p>
        </w:tc>
      </w:tr>
      <w:tr>
        <w:trPr>
          <w:trHeight w:val="27"/>
        </w:trPr>
        <w:tc>
          <w:tcPr>
            <w:tcW w:w="5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31,905</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23,148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112,140</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82,800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22,463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14,660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81,966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54,137</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22,994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7,429</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4,260</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27,150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17,039</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38,860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143,951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94,170</w:t>
            </w:r>
          </w:p>
        </w:tc>
      </w:tr>
      <w:tr>
        <w:trPr>
          <w:trHeight w:val="27"/>
        </w:trPr>
        <w:tc>
          <w:tcPr>
            <w:tcW w:w="5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(6,955)</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(31,811)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(11,370)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1,792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982</w:t>
            </w:r>
          </w:p>
        </w:tc>
      </w:tr>
      <w:tr>
        <w:trPr>
          <w:trHeight w:val="27"/>
        </w:trPr>
        <w:tc>
          <w:tcPr>
            <w:tcW w:w="5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2,774</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Net loss before income taxes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(1,683)</w:t>
            </w:r>
          </w:p>
        </w:tc>
      </w:tr>
      <w:tr>
        <w:trPr>
          <w:trHeight w:val="223"/>
        </w:trPr>
        <w:tc>
          <w:tcPr>
            <w:tcW w:w="50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(31,007)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(12,461)</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Accretion of dividends on convertible preferred stock</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857</w:t>
            </w:r>
          </w:p>
        </w:tc>
      </w:tr>
      <w:tr>
        <w:trPr>
          <w:trHeight w:val="284"/>
        </w:trPr>
        <w:tc>
          <w:tcPr>
            <w:tcW w:w="50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(6,969)</w:t>
            </w:r>
          </w:p>
        </w:tc>
        <w:tc>
          <w:tcPr>
            <w:tcW w:w="120" w:type="dxa"/>
            <w:vAlign w:val="bottom"/>
            <w:tcBorders>
              <w:bottom w:val="single" w:sz="8" w:color="CFF0FC"/>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(31,364)</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(13,318)</w:t>
            </w:r>
          </w:p>
        </w:tc>
      </w:tr>
      <w:tr>
        <w:trPr>
          <w:trHeight w:val="224"/>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60,434,368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34,274,718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49,529,833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34,274,718</w:t>
            </w:r>
          </w:p>
        </w:tc>
      </w:tr>
    </w:tbl>
    <w:p>
      <w:pPr>
        <w:sectPr>
          <w:pgSz w:w="11900" w:h="16838" w:orient="portrait"/>
          <w:cols w:equalWidth="0" w:num="1">
            <w:col w:w="11180"/>
          </w:cols>
          <w:pgMar w:left="360" w:top="580" w:right="35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Subscriptions, software and support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Professional services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Sales and marketing</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Total stock-based compensation expense</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7"/>
          <w:szCs w:val="17"/>
          <w:b w:val="1"/>
          <w:bCs w:val="1"/>
          <w:color w:val="auto"/>
        </w:rPr>
        <w:t>APPIAN CORPORATION AND SUBSIDIARIES</w:t>
      </w:r>
    </w:p>
    <w:p>
      <w:pPr>
        <w:spacing w:after="0" w:line="39"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STOCK-BASED COMPENSATION EXPENSE</w:t>
      </w:r>
    </w:p>
    <w:p>
      <w:pPr>
        <w:spacing w:after="0" w:line="9" w:lineRule="exact"/>
        <w:rPr>
          <w:sz w:val="20"/>
          <w:szCs w:val="20"/>
          <w:color w:val="auto"/>
        </w:rPr>
      </w:pPr>
    </w:p>
    <w:p>
      <w:pPr>
        <w:jc w:val="center"/>
        <w:ind w:right="3480"/>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30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4"/>
          </w:tcPr>
          <w:p>
            <w:pPr>
              <w:ind w:left="52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Arial" w:cs="Arial" w:eastAsia="Arial" w:hAnsi="Arial"/>
                <w:sz w:val="16"/>
                <w:szCs w:val="16"/>
                <w:b w:val="1"/>
                <w:bCs w:val="1"/>
                <w:color w:val="auto"/>
              </w:rPr>
              <w:t>2016</w:t>
            </w:r>
          </w:p>
        </w:tc>
      </w:tr>
      <w:tr>
        <w:trPr>
          <w:trHeight w:val="33"/>
        </w:trPr>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1060" w:type="dxa"/>
            <w:vAlign w:val="bottom"/>
          </w:tcPr>
          <w:p>
            <w:pPr>
              <w:spacing w:after="0"/>
              <w:rPr>
                <w:sz w:val="20"/>
                <w:szCs w:val="20"/>
                <w:color w:val="auto"/>
              </w:rPr>
            </w:pPr>
          </w:p>
        </w:tc>
        <w:tc>
          <w:tcPr>
            <w:tcW w:w="1940" w:type="dxa"/>
            <w:vAlign w:val="bottom"/>
            <w:gridSpan w:val="2"/>
          </w:tcPr>
          <w:p>
            <w:pPr>
              <w:jc w:val="right"/>
              <w:ind w:right="8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40"/>
        </w:trPr>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136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0"/>
        </w:trPr>
        <w:tc>
          <w:tcPr>
            <w:tcW w:w="106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169</w:t>
            </w:r>
          </w:p>
        </w:tc>
        <w:tc>
          <w:tcPr>
            <w:tcW w:w="1360" w:type="dxa"/>
            <w:vAlign w:val="bottom"/>
          </w:tcPr>
          <w:p>
            <w:pPr>
              <w:spacing w:after="0"/>
              <w:rPr>
                <w:sz w:val="23"/>
                <w:szCs w:val="23"/>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540"/>
        </w:trPr>
        <w:tc>
          <w:tcPr>
            <w:tcW w:w="106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451</w:t>
            </w:r>
          </w:p>
        </w:tc>
        <w:tc>
          <w:tcPr>
            <w:tcW w:w="136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0"/>
        </w:trPr>
        <w:tc>
          <w:tcPr>
            <w:tcW w:w="106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364</w:t>
            </w:r>
          </w:p>
        </w:tc>
        <w:tc>
          <w:tcPr>
            <w:tcW w:w="1360" w:type="dxa"/>
            <w:vAlign w:val="bottom"/>
          </w:tcPr>
          <w:p>
            <w:pPr>
              <w:spacing w:after="0"/>
              <w:rPr>
                <w:sz w:val="23"/>
                <w:szCs w:val="23"/>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0"/>
        </w:trPr>
        <w:tc>
          <w:tcPr>
            <w:tcW w:w="106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982</w:t>
            </w:r>
          </w:p>
        </w:tc>
        <w:tc>
          <w:tcPr>
            <w:tcW w:w="1360" w:type="dxa"/>
            <w:vAlign w:val="bottom"/>
          </w:tcPr>
          <w:p>
            <w:pPr>
              <w:spacing w:after="0"/>
              <w:rPr>
                <w:sz w:val="23"/>
                <w:szCs w:val="23"/>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5,051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33"/>
        </w:trPr>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2,057</w:t>
            </w:r>
          </w:p>
        </w:tc>
        <w:tc>
          <w:tcPr>
            <w:tcW w:w="136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12,976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33"/>
        </w:trPr>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-2218690</wp:posOffset>
            </wp:positionH>
            <wp:positionV relativeFrom="paragraph">
              <wp:posOffset>-1405890</wp:posOffset>
            </wp:positionV>
            <wp:extent cx="68694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94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-1062990</wp:posOffset>
            </wp:positionV>
            <wp:extent cx="68694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94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-719455</wp:posOffset>
            </wp:positionV>
            <wp:extent cx="68694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9430" cy="17145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-376555</wp:posOffset>
            </wp:positionV>
            <wp:extent cx="68694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9430" cy="171450"/>
                    </a:xfrm>
                    <a:prstGeom prst="rect">
                      <a:avLst/>
                    </a:prstGeom>
                    <a:noFill/>
                  </pic:spPr>
                </pic:pic>
              </a:graphicData>
            </a:graphic>
          </wp:anchor>
        </w:drawing>
      </w:r>
    </w:p>
    <w:p>
      <w:pPr>
        <w:sectPr>
          <w:pgSz w:w="11900" w:h="16838" w:orient="portrait"/>
          <w:cols w:equalWidth="0" w:num="2">
            <w:col w:w="2980" w:space="480"/>
            <w:col w:w="7320"/>
          </w:cols>
          <w:pgMar w:left="580" w:top="364" w:right="5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37465</wp:posOffset>
            </wp:positionV>
            <wp:extent cx="1981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(31,007)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(12,461)</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764</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Bad debt expense</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(1,122)</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Stock-based compensation</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12,976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color w:val="auto"/>
              </w:rPr>
              <w:t>Fair value adjustment for warrant liability</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b w:val="1"/>
                <w:bCs w:val="1"/>
                <w:color w:val="auto"/>
              </w:rPr>
              <w:t>Changes in assets and liabilities: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(9,716)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(11,154)</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Deferred commissions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(5,335)</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1,287</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3,717</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18,344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17,410</w:t>
            </w:r>
          </w:p>
        </w:tc>
      </w:tr>
      <w:tr>
        <w:trPr>
          <w:trHeight w:val="237"/>
        </w:trPr>
        <w:tc>
          <w:tcPr>
            <w:tcW w:w="7640" w:type="dxa"/>
            <w:vAlign w:val="bottom"/>
          </w:tcPr>
          <w:p>
            <w:pPr>
              <w:ind w:left="4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76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Net cash used in operating activities</w:t>
            </w: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(9,128)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(7,756)</w:t>
            </w: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(984)</w:t>
            </w:r>
          </w:p>
        </w:tc>
      </w:tr>
      <w:tr>
        <w:trPr>
          <w:trHeight w:val="217"/>
        </w:trPr>
        <w:tc>
          <w:tcPr>
            <w:tcW w:w="7640" w:type="dxa"/>
            <w:vAlign w:val="bottom"/>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Proceeds from initial public offering, net of underwriting discounts</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80,213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Payment of initial public offering costs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Payment of dividend to Series A preferred stockholders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Proceeds from exercise of common stock options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Proceeds from issuance of long-term debt, net of debt issuance costs</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Repayment of long-term debt</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(10,000)</w:t>
            </w:r>
          </w:p>
        </w:tc>
      </w:tr>
      <w:tr>
        <w:trPr>
          <w:trHeight w:val="217"/>
        </w:trPr>
        <w:tc>
          <w:tcPr>
            <w:tcW w:w="7640" w:type="dxa"/>
            <w:vAlign w:val="bottom"/>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50,948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10,000</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Effect of foreign exchange rate changes on cash and cash equivalents</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(1,510)</w:t>
            </w: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42,615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31,143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31,393</w:t>
            </w:r>
          </w:p>
        </w:tc>
      </w:tr>
      <w:tr>
        <w:trPr>
          <w:trHeight w:val="284"/>
        </w:trPr>
        <w:tc>
          <w:tcPr>
            <w:tcW w:w="7640" w:type="dxa"/>
            <w:vAlign w:val="bottom"/>
            <w:tcBorders>
              <w:bottom w:val="single" w:sz="8" w:color="CFF0FC"/>
            </w:tcBorders>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73,758</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31,143</w:t>
            </w:r>
          </w:p>
        </w:tc>
      </w:tr>
      <w:tr>
        <w:trPr>
          <w:trHeight w:val="224"/>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610</w:t>
            </w:r>
          </w:p>
        </w:tc>
      </w:tr>
      <w:tr>
        <w:trPr>
          <w:trHeight w:val="23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Conversion of convertible preferred stock to common stock</w:t>
            </w:r>
          </w:p>
        </w:tc>
        <w:tc>
          <w:tcPr>
            <w:tcW w:w="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48,207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40" w:type="dxa"/>
            <w:vAlign w:val="bottom"/>
          </w:tcPr>
          <w:p>
            <w:pPr>
              <w:ind w:left="260"/>
              <w:spacing w:after="0"/>
              <w:rPr>
                <w:sz w:val="20"/>
                <w:szCs w:val="20"/>
                <w:color w:val="auto"/>
              </w:rPr>
            </w:pPr>
            <w:r>
              <w:rPr>
                <w:rFonts w:ascii="Arial" w:cs="Arial" w:eastAsia="Arial" w:hAnsi="Arial"/>
                <w:sz w:val="16"/>
                <w:szCs w:val="16"/>
                <w:color w:val="auto"/>
              </w:rPr>
              <w:t>Conversion of convertible preferred stock warrant to common stock warrant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Accretion of dividends on convertible preferred stock</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857</w:t>
            </w:r>
          </w:p>
        </w:tc>
      </w:tr>
      <w:tr>
        <w:trPr>
          <w:trHeight w:val="33"/>
        </w:trPr>
        <w:tc>
          <w:tcPr>
            <w:tcW w:w="76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ectPr>
          <w:pgSz w:w="11900" w:h="16838" w:orient="portrait"/>
          <w:cols w:equalWidth="0" w:num="1">
            <w:col w:w="10760"/>
          </w:cols>
          <w:pgMar w:left="580" w:top="364" w:right="559" w:bottom="1440" w:gutter="0" w:footer="0" w:header="0"/>
        </w:sectPr>
      </w:pPr>
    </w:p>
    <w:bookmarkStart w:id="11" w:name="page12"/>
    <w:bookmarkEnd w:id="11"/>
    <w:p>
      <w:pPr>
        <w:jc w:val="center"/>
        <w:ind w:left="320" w:right="2700"/>
        <w:spacing w:after="0" w:line="263" w:lineRule="auto"/>
        <w:rPr>
          <w:sz w:val="20"/>
          <w:szCs w:val="20"/>
          <w:color w:val="auto"/>
        </w:rPr>
      </w:pPr>
      <w:r>
        <w:rPr>
          <w:rFonts w:ascii="Arial" w:cs="Arial" w:eastAsia="Arial" w:hAnsi="Arial"/>
          <w:sz w:val="18"/>
          <w:szCs w:val="18"/>
          <w:b w:val="1"/>
          <w:bCs w:val="1"/>
          <w:color w:val="auto"/>
        </w:rPr>
        <w:t xml:space="preserve">APPIAN CORPORATION AND SUBSIDIARIES RECONCILIATION OF GAAP MEASURES TO NON-GAAP MEASURES </w:t>
      </w:r>
      <w:r>
        <w:rPr>
          <w:rFonts w:ascii="Arial" w:cs="Arial" w:eastAsia="Arial" w:hAnsi="Arial"/>
          <w:sz w:val="18"/>
          <w:szCs w:val="18"/>
          <w:i w:val="1"/>
          <w:iCs w:val="1"/>
          <w:color w:val="auto"/>
        </w:rPr>
        <w:t>(in thousands, except share and per share data)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5"/>
                <w:szCs w:val="15"/>
                <w:b w:val="1"/>
                <w:bCs w:val="1"/>
                <w:color w:val="auto"/>
                <w:w w:val="97"/>
              </w:rPr>
              <w:t>Three Months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Reconciliation of non-GAAP 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160"/>
              <w:spacing w:after="0"/>
              <w:rPr>
                <w:sz w:val="20"/>
                <w:szCs w:val="20"/>
                <w:color w:val="auto"/>
              </w:rPr>
            </w:pPr>
            <w:r>
              <w:rPr>
                <w:rFonts w:ascii="Arial" w:cs="Arial" w:eastAsia="Arial" w:hAnsi="Arial"/>
                <w:sz w:val="16"/>
                <w:szCs w:val="16"/>
                <w:color w:val="auto"/>
              </w:rPr>
              <w:t>GAAP operating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(6,955)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(1,841)</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(31,811)</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(11,370)</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back:</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Non-GAAP operating loss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w:t>
            </w:r>
          </w:p>
        </w:tc>
        <w:tc>
          <w:tcPr>
            <w:tcW w:w="4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(18,835)</w:t>
            </w:r>
          </w:p>
        </w:tc>
        <w:tc>
          <w:tcPr>
            <w:tcW w:w="4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Reconciliation of non-GAAP net loss:</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160"/>
              <w:spacing w:after="0"/>
              <w:rPr>
                <w:sz w:val="20"/>
                <w:szCs w:val="20"/>
                <w:color w:val="auto"/>
              </w:rPr>
            </w:pPr>
            <w:r>
              <w:rPr>
                <w:rFonts w:ascii="Arial" w:cs="Arial" w:eastAsia="Arial" w:hAnsi="Arial"/>
                <w:sz w:val="16"/>
                <w:szCs w:val="16"/>
                <w:color w:val="auto"/>
              </w:rPr>
              <w:t>GAAP 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(6,869)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(4,183)</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(31,007)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back:</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Non-GAAP net loss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(4,812)</w:t>
            </w:r>
          </w:p>
        </w:tc>
        <w:tc>
          <w:tcPr>
            <w:tcW w:w="4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(17,306)</w:t>
            </w:r>
          </w:p>
        </w:tc>
        <w:tc>
          <w:tcPr>
            <w:tcW w:w="4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earnings per share:</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160"/>
              <w:spacing w:after="0"/>
              <w:rPr>
                <w:sz w:val="20"/>
                <w:szCs w:val="20"/>
                <w:color w:val="auto"/>
              </w:rPr>
            </w:pPr>
            <w:r>
              <w:rPr>
                <w:rFonts w:ascii="Arial" w:cs="Arial" w:eastAsia="Arial" w:hAnsi="Arial"/>
                <w:sz w:val="16"/>
                <w:szCs w:val="16"/>
                <w:color w:val="auto"/>
              </w:rPr>
              <w:t>Non-GAAP 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(4,812)</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(4,183)</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(17,306)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(12,261)</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Non-GAAP weighted average shares used to compute net loss per share</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attributable to common stockholders, basic and diluted</w:t>
            </w:r>
          </w:p>
        </w:tc>
        <w:tc>
          <w:tcPr>
            <w:tcW w:w="2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60,434,368</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52,437,876</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57,043,906</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52,437,876</w:t>
            </w: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Non-GAAP net loss per share, basic and diluted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Reconciliation of non-GAAP net loss per share, basic and diluted: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GAAP net loss per share attributable to common stockholders, basic and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37"/>
        </w:trPr>
        <w:tc>
          <w:tcPr>
            <w:tcW w:w="5100" w:type="dxa"/>
            <w:vAlign w:val="bottom"/>
          </w:tcPr>
          <w:p>
            <w:pPr>
              <w:ind w:left="160"/>
              <w:spacing w:after="0"/>
              <w:rPr>
                <w:sz w:val="20"/>
                <w:szCs w:val="20"/>
                <w:color w:val="auto"/>
              </w:rPr>
            </w:pPr>
            <w:r>
              <w:rPr>
                <w:rFonts w:ascii="Arial" w:cs="Arial" w:eastAsia="Arial" w:hAnsi="Arial"/>
                <w:sz w:val="16"/>
                <w:szCs w:val="16"/>
                <w:color w:val="auto"/>
              </w:rPr>
              <w:t>Add back:</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Non-GAAP adjustments to net loss per share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84"/>
        </w:trPr>
        <w:tc>
          <w:tcPr>
            <w:tcW w:w="51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Non-GAAP net loss per share, basic and diluted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44"/>
        </w:trPr>
        <w:tc>
          <w:tcPr>
            <w:tcW w:w="5100" w:type="dxa"/>
            <w:vAlign w:val="bottom"/>
            <w:shd w:val="clear" w:color="auto" w:fill="CCEEFF"/>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6"/>
                <w:szCs w:val="16"/>
                <w:color w:val="auto"/>
                <w:w w:val="92"/>
              </w:rPr>
              <w:t>Reconciliation of non-GAAP weighted average shares outstanding, basic and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GAAP weighted average shares used to compute net loss per share</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attributable to common stockholders, basic and diluted</w:t>
            </w:r>
          </w:p>
        </w:tc>
        <w:tc>
          <w:tcPr>
            <w:tcW w:w="2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60,434,368</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34,274,718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49,529,833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34,274,718</w:t>
            </w:r>
          </w:p>
        </w:tc>
        <w:tc>
          <w:tcPr>
            <w:tcW w:w="0" w:type="dxa"/>
            <w:vAlign w:val="bottom"/>
          </w:tcPr>
          <w:p>
            <w:pPr>
              <w:spacing w:after="0"/>
              <w:rPr>
                <w:sz w:val="1"/>
                <w:szCs w:val="1"/>
                <w:color w:val="auto"/>
              </w:rPr>
            </w:pPr>
          </w:p>
        </w:tc>
      </w:tr>
      <w:tr>
        <w:trPr>
          <w:trHeight w:val="237"/>
        </w:trPr>
        <w:tc>
          <w:tcPr>
            <w:tcW w:w="5100" w:type="dxa"/>
            <w:vAlign w:val="bottom"/>
          </w:tcPr>
          <w:p>
            <w:pPr>
              <w:ind w:left="160"/>
              <w:spacing w:after="0"/>
              <w:rPr>
                <w:sz w:val="20"/>
                <w:szCs w:val="20"/>
                <w:color w:val="auto"/>
              </w:rPr>
            </w:pPr>
            <w:r>
              <w:rPr>
                <w:rFonts w:ascii="Arial" w:cs="Arial" w:eastAsia="Arial" w:hAnsi="Arial"/>
                <w:sz w:val="16"/>
                <w:szCs w:val="16"/>
                <w:color w:val="auto"/>
              </w:rPr>
              <w:t>Add back:</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weighted average shares giving effect to conversion of</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at the beginning of the period</w:t>
            </w:r>
          </w:p>
        </w:tc>
        <w:tc>
          <w:tcPr>
            <w:tcW w:w="2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18,163,158</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7,514,073</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18,163,158</w:t>
            </w:r>
          </w:p>
        </w:tc>
        <w:tc>
          <w:tcPr>
            <w:tcW w:w="0" w:type="dxa"/>
            <w:vAlign w:val="bottom"/>
          </w:tcPr>
          <w:p>
            <w:pPr>
              <w:spacing w:after="0"/>
              <w:rPr>
                <w:sz w:val="1"/>
                <w:szCs w:val="1"/>
                <w:color w:val="auto"/>
              </w:rPr>
            </w:pPr>
          </w:p>
        </w:tc>
      </w:tr>
      <w:tr>
        <w:trPr>
          <w:trHeight w:val="200"/>
        </w:trPr>
        <w:tc>
          <w:tcPr>
            <w:tcW w:w="5100" w:type="dxa"/>
            <w:vAlign w:val="bottom"/>
          </w:tcPr>
          <w:p>
            <w:pPr>
              <w:ind w:left="160"/>
              <w:spacing w:after="0"/>
              <w:rPr>
                <w:sz w:val="20"/>
                <w:szCs w:val="20"/>
                <w:color w:val="auto"/>
              </w:rPr>
            </w:pPr>
            <w:r>
              <w:rPr>
                <w:rFonts w:ascii="Arial" w:cs="Arial" w:eastAsia="Arial" w:hAnsi="Arial"/>
                <w:sz w:val="16"/>
                <w:szCs w:val="16"/>
                <w:color w:val="auto"/>
                <w:w w:val="94"/>
              </w:rPr>
              <w:t>Non-GAAP weighted average shares used to compute net loss per share,</w:t>
            </w: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60,434,368</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52,437,876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57,043,906</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52,437,876</w:t>
            </w:r>
          </w:p>
        </w:tc>
        <w:tc>
          <w:tcPr>
            <w:tcW w:w="0" w:type="dxa"/>
            <w:vAlign w:val="bottom"/>
          </w:tcPr>
          <w:p>
            <w:pPr>
              <w:spacing w:after="0"/>
              <w:rPr>
                <w:sz w:val="1"/>
                <w:szCs w:val="1"/>
                <w:color w:val="auto"/>
              </w:rPr>
            </w:pPr>
          </w:p>
        </w:tc>
      </w:tr>
      <w:tr>
        <w:trPr>
          <w:trHeight w:val="219"/>
        </w:trPr>
        <w:tc>
          <w:tcPr>
            <w:tcW w:w="510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36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2019-12-29T01:08:26Z</dcterms:created>
  <dcterms:modified xsi:type="dcterms:W3CDTF">2019-12-29T01:08:26Z</dcterms:modified>
</cp:coreProperties>
</file>