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920115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894715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ind w:right="-269"/>
        <w:spacing w:after="0"/>
        <w:rPr>
          <w:sz w:val="20"/>
          <w:szCs w:val="20"/>
          <w:color w:val="auto"/>
        </w:rPr>
      </w:pPr>
      <w:r>
        <w:rPr>
          <w:rFonts w:ascii="Arial" w:cs="Arial" w:eastAsia="Arial" w:hAnsi="Arial"/>
          <w:sz w:val="30"/>
          <w:szCs w:val="30"/>
          <w:color w:val="auto"/>
          <w:highlight w:val="black"/>
        </w:rPr>
        <w:t>UNITED STATES</w:t>
      </w:r>
    </w:p>
    <w:p>
      <w:pPr>
        <w:spacing w:after="0" w:line="96" w:lineRule="exact"/>
        <w:rPr>
          <w:sz w:val="24"/>
          <w:szCs w:val="24"/>
          <w:color w:val="auto"/>
        </w:rPr>
      </w:pPr>
    </w:p>
    <w:p>
      <w:pPr>
        <w:jc w:val="center"/>
        <w:ind w:right="-189"/>
        <w:spacing w:after="0"/>
        <w:rPr>
          <w:sz w:val="20"/>
          <w:szCs w:val="20"/>
          <w:color w:val="auto"/>
        </w:rPr>
      </w:pPr>
      <w:r>
        <w:rPr>
          <w:rFonts w:ascii="Arial" w:cs="Arial" w:eastAsia="Arial" w:hAnsi="Arial"/>
          <w:sz w:val="30"/>
          <w:szCs w:val="30"/>
          <w:color w:val="auto"/>
        </w:rPr>
        <w:t>SECURITIES AND EXCHANGE COMMISSION</w:t>
      </w:r>
    </w:p>
    <w:p>
      <w:pPr>
        <w:spacing w:after="0" w:line="16" w:lineRule="exact"/>
        <w:rPr>
          <w:sz w:val="24"/>
          <w:szCs w:val="24"/>
          <w:color w:val="auto"/>
        </w:rPr>
      </w:pPr>
    </w:p>
    <w:p>
      <w:pPr>
        <w:jc w:val="center"/>
        <w:ind w:right="-189"/>
        <w:spacing w:after="0"/>
        <w:rPr>
          <w:sz w:val="20"/>
          <w:szCs w:val="20"/>
          <w:color w:val="auto"/>
        </w:rPr>
      </w:pPr>
      <w:r>
        <w:rPr>
          <w:rFonts w:ascii="Arial" w:cs="Arial" w:eastAsia="Arial" w:hAnsi="Arial"/>
          <w:sz w:val="19"/>
          <w:szCs w:val="19"/>
          <w:color w:val="auto"/>
          <w:highlight w:val="black"/>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128270</wp:posOffset>
            </wp:positionV>
            <wp:extent cx="276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89"/>
        <w:spacing w:after="0"/>
        <w:rPr>
          <w:sz w:val="20"/>
          <w:szCs w:val="20"/>
          <w:color w:val="auto"/>
        </w:rPr>
      </w:pPr>
      <w:r>
        <w:rPr>
          <w:rFonts w:ascii="Arial" w:cs="Arial" w:eastAsia="Arial" w:hAnsi="Arial"/>
          <w:sz w:val="30"/>
          <w:szCs w:val="30"/>
          <w:color w:val="auto"/>
          <w:highlight w:val="black"/>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122555</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47" w:lineRule="exact"/>
        <w:rPr>
          <w:sz w:val="24"/>
          <w:szCs w:val="24"/>
          <w:color w:val="auto"/>
        </w:rPr>
      </w:pPr>
    </w:p>
    <w:p>
      <w:pPr>
        <w:jc w:val="center"/>
        <w:ind w:right="-189"/>
        <w:spacing w:after="0"/>
        <w:rPr>
          <w:sz w:val="20"/>
          <w:szCs w:val="20"/>
          <w:color w:val="auto"/>
        </w:rPr>
      </w:pPr>
      <w:r>
        <w:rPr>
          <w:rFonts w:ascii="Arial" w:cs="Arial" w:eastAsia="Arial" w:hAnsi="Arial"/>
          <w:sz w:val="19"/>
          <w:szCs w:val="19"/>
          <w:color w:val="auto"/>
          <w:highlight w:val="black"/>
        </w:rPr>
        <w:t>CURRENT REPORT</w:t>
      </w:r>
    </w:p>
    <w:p>
      <w:pPr>
        <w:spacing w:after="0" w:line="119" w:lineRule="exact"/>
        <w:rPr>
          <w:sz w:val="24"/>
          <w:szCs w:val="24"/>
          <w:color w:val="auto"/>
        </w:rPr>
      </w:pPr>
    </w:p>
    <w:p>
      <w:pPr>
        <w:jc w:val="center"/>
        <w:ind w:right="-18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187" w:lineRule="exact"/>
        <w:rPr>
          <w:sz w:val="24"/>
          <w:szCs w:val="24"/>
          <w:color w:val="auto"/>
        </w:rPr>
      </w:pPr>
    </w:p>
    <w:p>
      <w:pPr>
        <w:jc w:val="center"/>
        <w:ind w:right="-189"/>
        <w:spacing w:after="0"/>
        <w:rPr>
          <w:sz w:val="20"/>
          <w:szCs w:val="20"/>
          <w:color w:val="auto"/>
        </w:rPr>
      </w:pPr>
      <w:r>
        <w:rPr>
          <w:rFonts w:ascii="Arial" w:cs="Arial" w:eastAsia="Arial" w:hAnsi="Arial"/>
          <w:sz w:val="16"/>
          <w:szCs w:val="16"/>
          <w:color w:val="auto"/>
        </w:rPr>
        <w:t>Date of Report (Date of earliest event reported):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116205</wp:posOffset>
            </wp:positionV>
            <wp:extent cx="2768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89"/>
        <w:spacing w:after="0"/>
        <w:rPr>
          <w:sz w:val="20"/>
          <w:szCs w:val="20"/>
          <w:color w:val="auto"/>
        </w:rPr>
      </w:pPr>
      <w:r>
        <w:rPr>
          <w:rFonts w:ascii="Arial" w:cs="Arial" w:eastAsia="Arial" w:hAnsi="Arial"/>
          <w:sz w:val="39"/>
          <w:szCs w:val="39"/>
          <w:color w:val="auto"/>
          <w:highlight w:val="black"/>
        </w:rPr>
        <w:t>Appian Corporation</w:t>
      </w:r>
    </w:p>
    <w:p>
      <w:pPr>
        <w:spacing w:after="0" w:line="16" w:lineRule="exact"/>
        <w:rPr>
          <w:sz w:val="24"/>
          <w:szCs w:val="24"/>
          <w:color w:val="auto"/>
        </w:rPr>
      </w:pPr>
    </w:p>
    <w:p>
      <w:pPr>
        <w:jc w:val="center"/>
        <w:ind w:right="-18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118110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88" w:lineRule="exact"/>
        <w:rPr>
          <w:sz w:val="24"/>
          <w:szCs w:val="24"/>
          <w:color w:val="auto"/>
        </w:rPr>
      </w:pPr>
    </w:p>
    <w:tbl>
      <w:tblPr>
        <w:tblLayout w:type="fixed"/>
        <w:tblInd w:w="1010" w:type="dxa"/>
        <w:tblCellMar>
          <w:top w:w="0" w:type="dxa"/>
          <w:left w:w="0" w:type="dxa"/>
          <w:bottom w:w="0" w:type="dxa"/>
          <w:right w:w="0" w:type="dxa"/>
        </w:tblCellMar>
      </w:tblPr>
      <w:tr>
        <w:trPr>
          <w:trHeight w:val="207"/>
        </w:trPr>
        <w:tc>
          <w:tcPr>
            <w:tcW w:w="3340" w:type="dxa"/>
            <w:vAlign w:val="bottom"/>
          </w:tcPr>
          <w:p>
            <w:pPr>
              <w:jc w:val="center"/>
              <w:ind w:right="801"/>
              <w:spacing w:after="0"/>
              <w:rPr>
                <w:sz w:val="20"/>
                <w:szCs w:val="20"/>
                <w:color w:val="auto"/>
              </w:rPr>
            </w:pPr>
            <w:r>
              <w:rPr>
                <w:rFonts w:ascii="Arial" w:cs="Arial" w:eastAsia="Arial" w:hAnsi="Arial"/>
                <w:sz w:val="18"/>
                <w:szCs w:val="18"/>
                <w:color w:val="auto"/>
                <w:highlight w:val="black"/>
                <w:w w:val="97"/>
              </w:rPr>
              <w:t>Delaware</w:t>
            </w:r>
          </w:p>
        </w:tc>
        <w:tc>
          <w:tcPr>
            <w:tcW w:w="3560" w:type="dxa"/>
            <w:vAlign w:val="bottom"/>
          </w:tcPr>
          <w:p>
            <w:pPr>
              <w:jc w:val="right"/>
              <w:ind w:right="1341"/>
              <w:spacing w:after="0"/>
              <w:rPr>
                <w:sz w:val="20"/>
                <w:szCs w:val="20"/>
                <w:color w:val="auto"/>
              </w:rPr>
            </w:pPr>
            <w:r>
              <w:rPr>
                <w:rFonts w:ascii="Arial" w:cs="Arial" w:eastAsia="Arial" w:hAnsi="Arial"/>
                <w:sz w:val="18"/>
                <w:szCs w:val="18"/>
                <w:color w:val="auto"/>
                <w:highlight w:val="black"/>
              </w:rPr>
              <w:t>001-38098</w:t>
            </w:r>
          </w:p>
        </w:tc>
        <w:tc>
          <w:tcPr>
            <w:tcW w:w="2140" w:type="dxa"/>
            <w:vAlign w:val="bottom"/>
          </w:tcPr>
          <w:p>
            <w:pPr>
              <w:jc w:val="right"/>
              <w:ind w:right="43"/>
              <w:spacing w:after="0"/>
              <w:rPr>
                <w:sz w:val="20"/>
                <w:szCs w:val="20"/>
                <w:color w:val="auto"/>
              </w:rPr>
            </w:pPr>
            <w:r>
              <w:rPr>
                <w:rFonts w:ascii="Arial" w:cs="Arial" w:eastAsia="Arial" w:hAnsi="Arial"/>
                <w:sz w:val="18"/>
                <w:szCs w:val="18"/>
                <w:color w:val="auto"/>
                <w:highlight w:val="black"/>
              </w:rPr>
              <w:t>54-1956084</w:t>
            </w:r>
          </w:p>
        </w:tc>
      </w:tr>
      <w:tr>
        <w:trPr>
          <w:trHeight w:val="222"/>
        </w:trPr>
        <w:tc>
          <w:tcPr>
            <w:tcW w:w="3340" w:type="dxa"/>
            <w:vAlign w:val="bottom"/>
          </w:tcPr>
          <w:p>
            <w:pPr>
              <w:jc w:val="center"/>
              <w:ind w:right="801"/>
              <w:spacing w:after="0"/>
              <w:rPr>
                <w:sz w:val="20"/>
                <w:szCs w:val="20"/>
                <w:color w:val="auto"/>
              </w:rPr>
            </w:pPr>
            <w:r>
              <w:rPr>
                <w:rFonts w:ascii="Arial" w:cs="Arial" w:eastAsia="Arial" w:hAnsi="Arial"/>
                <w:sz w:val="14"/>
                <w:szCs w:val="14"/>
                <w:color w:val="auto"/>
              </w:rPr>
              <w:t>(State or Other Jurisdiction</w:t>
            </w:r>
          </w:p>
        </w:tc>
        <w:tc>
          <w:tcPr>
            <w:tcW w:w="3560" w:type="dxa"/>
            <w:vAlign w:val="bottom"/>
          </w:tcPr>
          <w:p>
            <w:pPr>
              <w:jc w:val="center"/>
              <w:ind w:right="41"/>
              <w:spacing w:after="0"/>
              <w:rPr>
                <w:sz w:val="20"/>
                <w:szCs w:val="20"/>
                <w:color w:val="auto"/>
              </w:rPr>
            </w:pPr>
            <w:r>
              <w:rPr>
                <w:rFonts w:ascii="Arial" w:cs="Arial" w:eastAsia="Arial" w:hAnsi="Arial"/>
                <w:sz w:val="14"/>
                <w:szCs w:val="14"/>
                <w:color w:val="auto"/>
              </w:rPr>
              <w:t>(Commission File Number)</w:t>
            </w:r>
          </w:p>
        </w:tc>
        <w:tc>
          <w:tcPr>
            <w:tcW w:w="2140" w:type="dxa"/>
            <w:vAlign w:val="bottom"/>
          </w:tcPr>
          <w:p>
            <w:pPr>
              <w:jc w:val="center"/>
              <w:ind w:left="903"/>
              <w:spacing w:after="0"/>
              <w:rPr>
                <w:sz w:val="20"/>
                <w:szCs w:val="20"/>
                <w:color w:val="auto"/>
              </w:rPr>
            </w:pPr>
            <w:r>
              <w:rPr>
                <w:rFonts w:ascii="Arial" w:cs="Arial" w:eastAsia="Arial" w:hAnsi="Arial"/>
                <w:sz w:val="14"/>
                <w:szCs w:val="14"/>
                <w:color w:val="auto"/>
                <w:highlight w:val="black"/>
              </w:rPr>
              <w:t>(I.R.S. Employer</w:t>
            </w:r>
          </w:p>
        </w:tc>
      </w:tr>
      <w:tr>
        <w:trPr>
          <w:trHeight w:val="175"/>
        </w:trPr>
        <w:tc>
          <w:tcPr>
            <w:tcW w:w="3340" w:type="dxa"/>
            <w:vAlign w:val="bottom"/>
          </w:tcPr>
          <w:p>
            <w:pPr>
              <w:jc w:val="center"/>
              <w:ind w:right="801"/>
              <w:spacing w:after="0"/>
              <w:rPr>
                <w:sz w:val="20"/>
                <w:szCs w:val="20"/>
                <w:color w:val="auto"/>
              </w:rPr>
            </w:pPr>
            <w:r>
              <w:rPr>
                <w:rFonts w:ascii="Arial" w:cs="Arial" w:eastAsia="Arial" w:hAnsi="Arial"/>
                <w:sz w:val="14"/>
                <w:szCs w:val="14"/>
                <w:color w:val="auto"/>
                <w:highlight w:val="black"/>
              </w:rPr>
              <w:t>of Incorporation)</w:t>
            </w:r>
          </w:p>
        </w:tc>
        <w:tc>
          <w:tcPr>
            <w:tcW w:w="3560" w:type="dxa"/>
            <w:vAlign w:val="bottom"/>
          </w:tcPr>
          <w:p>
            <w:pPr>
              <w:spacing w:after="0"/>
              <w:rPr>
                <w:sz w:val="15"/>
                <w:szCs w:val="15"/>
                <w:color w:val="auto"/>
              </w:rPr>
            </w:pPr>
          </w:p>
        </w:tc>
        <w:tc>
          <w:tcPr>
            <w:tcW w:w="2140" w:type="dxa"/>
            <w:vAlign w:val="bottom"/>
          </w:tcPr>
          <w:p>
            <w:pPr>
              <w:jc w:val="center"/>
              <w:ind w:left="923"/>
              <w:spacing w:after="0"/>
              <w:rPr>
                <w:sz w:val="20"/>
                <w:szCs w:val="20"/>
                <w:color w:val="auto"/>
              </w:rPr>
            </w:pPr>
            <w:r>
              <w:rPr>
                <w:rFonts w:ascii="Arial" w:cs="Arial" w:eastAsia="Arial" w:hAnsi="Arial"/>
                <w:sz w:val="14"/>
                <w:szCs w:val="14"/>
                <w:color w:val="auto"/>
                <w:highlight w:val="black"/>
              </w:rPr>
              <w:t>Identification No.)</w:t>
            </w:r>
          </w:p>
        </w:tc>
      </w:tr>
      <w:tr>
        <w:trPr>
          <w:trHeight w:val="372"/>
        </w:trPr>
        <w:tc>
          <w:tcPr>
            <w:tcW w:w="3340" w:type="dxa"/>
            <w:vAlign w:val="bottom"/>
          </w:tcPr>
          <w:p>
            <w:pPr>
              <w:jc w:val="center"/>
              <w:ind w:right="801"/>
              <w:spacing w:after="0"/>
              <w:rPr>
                <w:sz w:val="20"/>
                <w:szCs w:val="20"/>
                <w:color w:val="auto"/>
              </w:rPr>
            </w:pPr>
            <w:r>
              <w:rPr>
                <w:rFonts w:ascii="Arial" w:cs="Arial" w:eastAsia="Arial" w:hAnsi="Arial"/>
                <w:sz w:val="18"/>
                <w:szCs w:val="18"/>
                <w:color w:val="auto"/>
                <w:w w:val="97"/>
              </w:rPr>
              <w:t>7950 Jones Branch Drive</w:t>
            </w:r>
          </w:p>
        </w:tc>
        <w:tc>
          <w:tcPr>
            <w:tcW w:w="35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3340" w:type="dxa"/>
            <w:vAlign w:val="bottom"/>
          </w:tcPr>
          <w:p>
            <w:pPr>
              <w:jc w:val="center"/>
              <w:ind w:right="821"/>
              <w:spacing w:after="0"/>
              <w:rPr>
                <w:sz w:val="20"/>
                <w:szCs w:val="20"/>
                <w:color w:val="auto"/>
              </w:rPr>
            </w:pPr>
            <w:r>
              <w:rPr>
                <w:rFonts w:ascii="Arial" w:cs="Arial" w:eastAsia="Arial" w:hAnsi="Arial"/>
                <w:sz w:val="18"/>
                <w:szCs w:val="18"/>
                <w:color w:val="auto"/>
                <w:highlight w:val="black"/>
                <w:w w:val="93"/>
              </w:rPr>
              <w:t>McLean, VA</w:t>
            </w:r>
          </w:p>
        </w:tc>
        <w:tc>
          <w:tcPr>
            <w:tcW w:w="3560" w:type="dxa"/>
            <w:vAlign w:val="bottom"/>
          </w:tcPr>
          <w:p>
            <w:pPr>
              <w:spacing w:after="0"/>
              <w:rPr>
                <w:sz w:val="18"/>
                <w:szCs w:val="18"/>
                <w:color w:val="auto"/>
              </w:rPr>
            </w:pPr>
          </w:p>
        </w:tc>
        <w:tc>
          <w:tcPr>
            <w:tcW w:w="2140" w:type="dxa"/>
            <w:vAlign w:val="bottom"/>
          </w:tcPr>
          <w:p>
            <w:pPr>
              <w:jc w:val="right"/>
              <w:ind w:right="263"/>
              <w:spacing w:after="0"/>
              <w:rPr>
                <w:sz w:val="20"/>
                <w:szCs w:val="20"/>
                <w:color w:val="auto"/>
              </w:rPr>
            </w:pPr>
            <w:r>
              <w:rPr>
                <w:rFonts w:ascii="Arial" w:cs="Arial" w:eastAsia="Arial" w:hAnsi="Arial"/>
                <w:sz w:val="18"/>
                <w:szCs w:val="18"/>
                <w:color w:val="auto"/>
                <w:highlight w:val="black"/>
              </w:rPr>
              <w:t>22102</w:t>
            </w:r>
          </w:p>
        </w:tc>
      </w:tr>
      <w:tr>
        <w:trPr>
          <w:trHeight w:val="222"/>
        </w:trPr>
        <w:tc>
          <w:tcPr>
            <w:tcW w:w="3340" w:type="dxa"/>
            <w:vAlign w:val="bottom"/>
          </w:tcPr>
          <w:p>
            <w:pPr>
              <w:jc w:val="center"/>
              <w:ind w:right="801"/>
              <w:spacing w:after="0"/>
              <w:rPr>
                <w:sz w:val="20"/>
                <w:szCs w:val="20"/>
                <w:color w:val="auto"/>
              </w:rPr>
            </w:pPr>
            <w:r>
              <w:rPr>
                <w:rFonts w:ascii="Arial" w:cs="Arial" w:eastAsia="Arial" w:hAnsi="Arial"/>
                <w:sz w:val="14"/>
                <w:szCs w:val="14"/>
                <w:color w:val="auto"/>
              </w:rPr>
              <w:t>(Address of principal executive offices)</w:t>
            </w:r>
          </w:p>
        </w:tc>
        <w:tc>
          <w:tcPr>
            <w:tcW w:w="3560" w:type="dxa"/>
            <w:vAlign w:val="bottom"/>
          </w:tcPr>
          <w:p>
            <w:pPr>
              <w:spacing w:after="0"/>
              <w:rPr>
                <w:sz w:val="19"/>
                <w:szCs w:val="19"/>
                <w:color w:val="auto"/>
              </w:rPr>
            </w:pPr>
          </w:p>
        </w:tc>
        <w:tc>
          <w:tcPr>
            <w:tcW w:w="2140" w:type="dxa"/>
            <w:vAlign w:val="bottom"/>
          </w:tcPr>
          <w:p>
            <w:pPr>
              <w:jc w:val="center"/>
              <w:ind w:left="883"/>
              <w:spacing w:after="0"/>
              <w:rPr>
                <w:sz w:val="20"/>
                <w:szCs w:val="20"/>
                <w:color w:val="auto"/>
              </w:rPr>
            </w:pPr>
            <w:r>
              <w:rPr>
                <w:rFonts w:ascii="Arial" w:cs="Arial" w:eastAsia="Arial" w:hAnsi="Arial"/>
                <w:sz w:val="14"/>
                <w:szCs w:val="14"/>
                <w:color w:val="auto"/>
                <w:highlight w:val="black"/>
                <w:w w:val="99"/>
              </w:rPr>
              <w:t>(Zip Code)</w:t>
            </w:r>
          </w:p>
        </w:tc>
      </w:tr>
    </w:tbl>
    <w:p>
      <w:pPr>
        <w:spacing w:after="0" w:line="211" w:lineRule="exact"/>
        <w:rPr>
          <w:sz w:val="24"/>
          <w:szCs w:val="24"/>
          <w:color w:val="auto"/>
        </w:rPr>
      </w:pPr>
    </w:p>
    <w:p>
      <w:pPr>
        <w:jc w:val="center"/>
        <w:ind w:right="-189"/>
        <w:spacing w:after="0"/>
        <w:rPr>
          <w:sz w:val="20"/>
          <w:szCs w:val="20"/>
          <w:color w:val="auto"/>
        </w:rPr>
      </w:pPr>
      <w:r>
        <w:rPr>
          <w:rFonts w:ascii="Arial" w:cs="Arial" w:eastAsia="Arial" w:hAnsi="Arial"/>
          <w:sz w:val="16"/>
          <w:szCs w:val="16"/>
          <w:color w:val="auto"/>
        </w:rPr>
        <w:t>Registrant’s Telephone Number, Including Area Code: (703) 442-8844</w:t>
      </w:r>
    </w:p>
    <w:p>
      <w:pPr>
        <w:spacing w:after="0" w:line="262" w:lineRule="exact"/>
        <w:rPr>
          <w:sz w:val="24"/>
          <w:szCs w:val="24"/>
          <w:color w:val="auto"/>
        </w:rPr>
      </w:pPr>
    </w:p>
    <w:p>
      <w:pPr>
        <w:jc w:val="center"/>
        <w:ind w:right="-189"/>
        <w:spacing w:after="0"/>
        <w:rPr>
          <w:sz w:val="20"/>
          <w:szCs w:val="20"/>
          <w:color w:val="auto"/>
        </w:rPr>
      </w:pPr>
      <w:r>
        <w:rPr>
          <w:rFonts w:ascii="Arial" w:cs="Arial" w:eastAsia="Arial" w:hAnsi="Arial"/>
          <w:sz w:val="16"/>
          <w:szCs w:val="16"/>
          <w:color w:val="auto"/>
          <w:highlight w:val="black"/>
        </w:rPr>
        <w:t>Not Applicable</w:t>
      </w:r>
    </w:p>
    <w:p>
      <w:pPr>
        <w:jc w:val="center"/>
        <w:ind w:right="-189"/>
        <w:spacing w:after="0" w:line="235" w:lineRule="auto"/>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178435</wp:posOffset>
            </wp:positionV>
            <wp:extent cx="2768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10"/>
        <w:spacing w:after="0" w:line="22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Instructions A.2. below):</w:t>
      </w:r>
    </w:p>
    <w:p>
      <w:pPr>
        <w:spacing w:after="0" w:line="134" w:lineRule="exact"/>
        <w:rPr>
          <w:sz w:val="24"/>
          <w:szCs w:val="24"/>
          <w:color w:val="auto"/>
        </w:rPr>
      </w:pPr>
    </w:p>
    <w:p>
      <w:pPr>
        <w:ind w:left="350" w:hanging="350"/>
        <w:spacing w:after="0"/>
        <w:tabs>
          <w:tab w:leader="none" w:pos="35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0" w:lineRule="exact"/>
        <w:rPr>
          <w:rFonts w:ascii="MS PGothic" w:cs="MS PGothic" w:eastAsia="MS PGothic" w:hAnsi="MS PGothic"/>
          <w:sz w:val="16"/>
          <w:szCs w:val="16"/>
          <w:color w:val="auto"/>
        </w:rPr>
      </w:pPr>
    </w:p>
    <w:p>
      <w:pPr>
        <w:ind w:left="10" w:right="2820" w:hanging="10"/>
        <w:spacing w:after="0" w:line="485" w:lineRule="auto"/>
        <w:tabs>
          <w:tab w:leader="none" w:pos="32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Exchange Act:</w:t>
      </w:r>
    </w:p>
    <w:tbl>
      <w:tblPr>
        <w:tblLayout w:type="fixed"/>
        <w:tblInd w:w="1130"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140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7"/>
              </w:rPr>
              <w:t>Title of each class</w:t>
            </w:r>
          </w:p>
        </w:tc>
        <w:tc>
          <w:tcPr>
            <w:tcW w:w="1840" w:type="dxa"/>
            <w:vAlign w:val="bottom"/>
          </w:tcPr>
          <w:p>
            <w:pPr>
              <w:spacing w:after="0"/>
              <w:rPr>
                <w:sz w:val="18"/>
                <w:szCs w:val="18"/>
                <w:color w:val="auto"/>
              </w:rPr>
            </w:pPr>
          </w:p>
        </w:tc>
        <w:tc>
          <w:tcPr>
            <w:tcW w:w="120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7"/>
              </w:rPr>
              <w:t>Trading symbol</w:t>
            </w:r>
          </w:p>
        </w:tc>
        <w:tc>
          <w:tcPr>
            <w:tcW w:w="1240" w:type="dxa"/>
            <w:vAlign w:val="bottom"/>
          </w:tcPr>
          <w:p>
            <w:pPr>
              <w:spacing w:after="0"/>
              <w:rPr>
                <w:sz w:val="18"/>
                <w:szCs w:val="18"/>
                <w:color w:val="auto"/>
              </w:rPr>
            </w:pPr>
          </w:p>
        </w:tc>
        <w:tc>
          <w:tcPr>
            <w:tcW w:w="352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8"/>
              </w:rPr>
              <w:t>Name of each exchange on which registered</w:t>
            </w:r>
          </w:p>
        </w:tc>
        <w:tc>
          <w:tcPr>
            <w:tcW w:w="20" w:type="dxa"/>
            <w:vAlign w:val="bottom"/>
          </w:tcPr>
          <w:p>
            <w:pPr>
              <w:spacing w:after="0"/>
              <w:rPr>
                <w:sz w:val="18"/>
                <w:szCs w:val="18"/>
                <w:color w:val="auto"/>
              </w:rPr>
            </w:pPr>
          </w:p>
        </w:tc>
      </w:tr>
      <w:tr>
        <w:trPr>
          <w:trHeight w:val="274"/>
        </w:trPr>
        <w:tc>
          <w:tcPr>
            <w:tcW w:w="3440" w:type="dxa"/>
            <w:vAlign w:val="bottom"/>
            <w:gridSpan w:val="3"/>
          </w:tcPr>
          <w:p>
            <w:pPr>
              <w:jc w:val="center"/>
              <w:ind w:right="1640"/>
              <w:spacing w:after="0"/>
              <w:rPr>
                <w:sz w:val="20"/>
                <w:szCs w:val="20"/>
                <w:color w:val="auto"/>
              </w:rPr>
            </w:pPr>
            <w:r>
              <w:rPr>
                <w:rFonts w:ascii="Arial" w:cs="Arial" w:eastAsia="Arial" w:hAnsi="Arial"/>
                <w:sz w:val="18"/>
                <w:szCs w:val="18"/>
                <w:color w:val="auto"/>
                <w:w w:val="94"/>
              </w:rPr>
              <w:t>Class A Common Stock</w:t>
            </w:r>
          </w:p>
        </w:tc>
        <w:tc>
          <w:tcPr>
            <w:tcW w:w="2440" w:type="dxa"/>
            <w:vAlign w:val="bottom"/>
            <w:gridSpan w:val="2"/>
          </w:tcPr>
          <w:p>
            <w:pPr>
              <w:jc w:val="center"/>
              <w:ind w:right="1240"/>
              <w:spacing w:after="0"/>
              <w:rPr>
                <w:sz w:val="20"/>
                <w:szCs w:val="20"/>
                <w:color w:val="auto"/>
              </w:rPr>
            </w:pPr>
            <w:r>
              <w:rPr>
                <w:rFonts w:ascii="Arial" w:cs="Arial" w:eastAsia="Arial" w:hAnsi="Arial"/>
                <w:sz w:val="18"/>
                <w:szCs w:val="18"/>
                <w:color w:val="auto"/>
                <w:w w:val="89"/>
              </w:rPr>
              <w:t>APPN</w:t>
            </w:r>
          </w:p>
        </w:tc>
        <w:tc>
          <w:tcPr>
            <w:tcW w:w="35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The Nasdaq Stock Market LLC</w:t>
            </w:r>
          </w:p>
        </w:tc>
      </w:tr>
    </w:tbl>
    <w:p>
      <w:pPr>
        <w:spacing w:after="0" w:line="176" w:lineRule="exact"/>
        <w:rPr>
          <w:sz w:val="24"/>
          <w:szCs w:val="24"/>
          <w:color w:val="auto"/>
        </w:rPr>
      </w:pPr>
    </w:p>
    <w:p>
      <w:pPr>
        <w:ind w:left="10" w:right="340"/>
        <w:spacing w:after="0" w:line="23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0"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10"/>
        <w:spacing w:after="0" w:line="24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1050290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205740</wp:posOffset>
            </wp:positionV>
            <wp:extent cx="69265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180340</wp:posOffset>
            </wp:positionV>
            <wp:extent cx="6926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070"/>
          </w:cols>
          <w:pgMar w:left="310" w:top="1440"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19, 2026, Appian Corporation (the "Company") issued a press release announcing its financial results for the fourth quarter</w:t>
      </w:r>
    </w:p>
    <w:p>
      <w:pPr>
        <w:spacing w:after="0" w:line="91" w:lineRule="exact"/>
        <w:rPr>
          <w:sz w:val="20"/>
          <w:szCs w:val="20"/>
          <w:color w:val="auto"/>
        </w:rPr>
      </w:pPr>
    </w:p>
    <w:p>
      <w:pPr>
        <w:jc w:val="both"/>
        <w:ind w:right="140"/>
        <w:spacing w:after="0" w:line="234" w:lineRule="auto"/>
        <w:rPr>
          <w:sz w:val="20"/>
          <w:szCs w:val="20"/>
          <w:color w:val="auto"/>
        </w:rPr>
      </w:pPr>
      <w:r>
        <w:rPr>
          <w:rFonts w:ascii="Arial" w:cs="Arial" w:eastAsia="Arial" w:hAnsi="Arial"/>
          <w:sz w:val="18"/>
          <w:szCs w:val="18"/>
          <w:color w:val="auto"/>
        </w:rPr>
        <w:t>and year ended December 31, 2025, as well as information regarding a conference call to discuss these financial results and the Company's recent business highlights and financial outlook. The Company's press release is furnished as Exhibit 99.1 to this Current Report on Form 8-K.</w:t>
      </w:r>
    </w:p>
    <w:p>
      <w:pPr>
        <w:spacing w:after="0" w:line="286"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The information included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Item 8.01. Other Events.</w:t>
      </w:r>
    </w:p>
    <w:p>
      <w:pPr>
        <w:spacing w:after="0" w:line="283"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The Board of Directors has authorized a program to repurchase up to $50.0 million of Appian's common stock (the “Share Repurchase Program”), effective February 2026 through February 2028. The Share Repurchase Program does not obligate Appian to acquire any specific number of shares, and shares of common stock may be repurchased using a variety of methods, including privately negotiated and/or open market transactions, under plans complying with Rule 10b5-1 of the Exchange Act, as part of accelerated share repurchases, or other methods. The timing and amount of any purchases of common stock will be based on Appian’s liquidity, general business and market conditions, debt covenant restrictions and other factors, including alternative investment opportunities.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ind w:left="20"/>
              <w:spacing w:after="0"/>
              <w:rPr>
                <w:sz w:val="20"/>
                <w:szCs w:val="20"/>
                <w:color w:val="auto"/>
              </w:rPr>
            </w:pPr>
            <w:r>
              <w:rPr>
                <w:rFonts w:ascii="Arial" w:cs="Arial" w:eastAsia="Arial" w:hAnsi="Arial"/>
                <w:sz w:val="18"/>
                <w:szCs w:val="18"/>
                <w:color w:val="auto"/>
                <w:highlight w:val="black"/>
              </w:rPr>
              <w:t>Exhibit No.</w:t>
            </w:r>
          </w:p>
        </w:tc>
        <w:tc>
          <w:tcPr>
            <w:tcW w:w="20" w:type="dxa"/>
            <w:vAlign w:val="bottom"/>
          </w:tcPr>
          <w:p>
            <w:pPr>
              <w:spacing w:after="0"/>
              <w:rPr>
                <w:sz w:val="17"/>
                <w:szCs w:val="17"/>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highlight w:val="black"/>
              </w:rPr>
              <w:t>Description</w:t>
            </w:r>
          </w:p>
        </w:tc>
      </w:tr>
      <w:tr>
        <w:trPr>
          <w:trHeight w:val="30"/>
        </w:trPr>
        <w:tc>
          <w:tcPr>
            <w:tcW w:w="13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r>
      <w:tr>
        <w:trPr>
          <w:trHeight w:val="308"/>
        </w:trPr>
        <w:tc>
          <w:tcPr>
            <w:tcW w:w="1340" w:type="dxa"/>
            <w:vAlign w:val="bottom"/>
          </w:tcPr>
          <w:p>
            <w:pPr>
              <w:ind w:left="20"/>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Press release dated February 19, 2026</w:t>
            </w:r>
          </w:p>
        </w:tc>
        <w:tc>
          <w:tcPr>
            <w:tcW w:w="6360" w:type="dxa"/>
            <w:vAlign w:val="bottom"/>
          </w:tcPr>
          <w:p>
            <w:pPr>
              <w:spacing w:after="0"/>
              <w:rPr>
                <w:sz w:val="24"/>
                <w:szCs w:val="24"/>
                <w:color w:val="auto"/>
              </w:rPr>
            </w:pP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46"/>
        </w:trPr>
        <w:tc>
          <w:tcPr>
            <w:tcW w:w="1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highlight w:val="black"/>
        </w:rPr>
        <w:t>SIGNATURES</w:t>
      </w:r>
    </w:p>
    <w:p>
      <w:pPr>
        <w:spacing w:after="0" w:line="29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380"/>
        <w:spacing w:after="0"/>
        <w:rPr>
          <w:sz w:val="20"/>
          <w:szCs w:val="20"/>
          <w:color w:val="auto"/>
        </w:rPr>
      </w:pPr>
      <w:r>
        <w:rPr>
          <w:rFonts w:ascii="Arial" w:cs="Arial" w:eastAsia="Arial" w:hAnsi="Arial"/>
          <w:sz w:val="18"/>
          <w:szCs w:val="18"/>
          <w:color w:val="auto"/>
          <w:highlight w:val="black"/>
        </w:rPr>
        <w:t>Appian Corporation</w:t>
      </w:r>
    </w:p>
    <w:p>
      <w:pPr>
        <w:spacing w:after="0" w:line="293" w:lineRule="exact"/>
        <w:rPr>
          <w:sz w:val="20"/>
          <w:szCs w:val="20"/>
          <w:color w:val="auto"/>
        </w:rPr>
      </w:pPr>
    </w:p>
    <w:p>
      <w:pPr>
        <w:ind w:left="20"/>
        <w:spacing w:after="0"/>
        <w:tabs>
          <w:tab w:leader="none" w:pos="4360" w:val="left"/>
          <w:tab w:leader="none" w:pos="7460" w:val="left"/>
        </w:tabs>
        <w:rPr>
          <w:sz w:val="20"/>
          <w:szCs w:val="20"/>
          <w:color w:val="auto"/>
        </w:rPr>
      </w:pPr>
      <w:r>
        <w:rPr>
          <w:rFonts w:ascii="Arial" w:cs="Arial" w:eastAsia="Arial" w:hAnsi="Arial"/>
          <w:sz w:val="18"/>
          <w:szCs w:val="18"/>
          <w:color w:val="auto"/>
        </w:rPr>
        <w:t>Date: February 19,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Srdjan Tanjga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19050</wp:posOffset>
            </wp:positionV>
            <wp:extent cx="38576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57"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highlight w:val="black"/>
        </w:rPr>
        <w:t>Srdjan Tanjga</w:t>
      </w:r>
    </w:p>
    <w:p>
      <w:pPr>
        <w:spacing w:after="0" w:line="63"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highlight w:val="black"/>
        </w:rPr>
        <w:t>Chief Financial Officer</w:t>
      </w:r>
    </w:p>
    <w:p>
      <w:pPr>
        <w:sectPr>
          <w:pgSz w:w="11900" w:h="16838" w:orient="portrait"/>
          <w:cols w:equalWidth="0" w:num="1">
            <w:col w:w="11160"/>
          </w:cols>
          <w:pgMar w:left="320" w:top="1293"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highlight w:val="black"/>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714500" cy="960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Appian Announces Fourth Quarter and Full Year 2025 Financial Results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Fourth quarter cloud subscriptions revenue increased 18% year-over-year to $117.0 million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Full year cloud subscriptions revenue increased 19% year-over year to $437.4 million</w:t>
      </w:r>
    </w:p>
    <w:p>
      <w:pPr>
        <w:spacing w:after="0" w:line="276" w:lineRule="exact"/>
        <w:rPr>
          <w:sz w:val="20"/>
          <w:szCs w:val="20"/>
          <w:color w:val="auto"/>
        </w:rPr>
      </w:pPr>
    </w:p>
    <w:p>
      <w:pPr>
        <w:ind w:right="500"/>
        <w:spacing w:after="0" w:line="227" w:lineRule="auto"/>
        <w:rPr>
          <w:sz w:val="20"/>
          <w:szCs w:val="20"/>
          <w:color w:val="auto"/>
        </w:rPr>
      </w:pPr>
      <w:r>
        <w:rPr>
          <w:rFonts w:ascii="Arial" w:cs="Arial" w:eastAsia="Arial" w:hAnsi="Arial"/>
          <w:sz w:val="18"/>
          <w:szCs w:val="18"/>
          <w:color w:val="auto"/>
        </w:rPr>
        <w:t>McLean, VA – February 19, 2026 – Appian (Nasdaq: APPN) today announced financial results for the fourth quarter and full year ended December 31,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2025 Financial Highlights:</w:t>
      </w:r>
    </w:p>
    <w:p>
      <w:pPr>
        <w:spacing w:after="0" w:line="283" w:lineRule="exact"/>
        <w:rPr>
          <w:sz w:val="20"/>
          <w:szCs w:val="20"/>
          <w:color w:val="auto"/>
        </w:rPr>
      </w:pPr>
    </w:p>
    <w:p>
      <w:pPr>
        <w:ind w:left="660" w:right="180" w:hanging="328"/>
        <w:spacing w:after="0" w:line="241" w:lineRule="auto"/>
        <w:tabs>
          <w:tab w:leader="none" w:pos="647"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black"/>
        </w:rPr>
        <w:t xml:space="preserve">Revenue: </w:t>
      </w:r>
      <w:r>
        <w:rPr>
          <w:rFonts w:ascii="Arial" w:cs="Arial" w:eastAsia="Arial" w:hAnsi="Arial"/>
          <w:sz w:val="18"/>
          <w:szCs w:val="18"/>
          <w:color w:val="auto"/>
        </w:rPr>
        <w:t>Cloud subscriptions revenue was $117.0 million, up 18% compared to the fourth quarter of 2024. Total subscriptions</w:t>
      </w:r>
      <w:r>
        <w:rPr>
          <w:rFonts w:ascii="Arial" w:cs="Arial" w:eastAsia="Arial" w:hAnsi="Arial"/>
          <w:sz w:val="18"/>
          <w:szCs w:val="18"/>
          <w:color w:val="auto"/>
          <w:highlight w:val="black"/>
        </w:rPr>
        <w:t xml:space="preserve"> </w:t>
      </w:r>
      <w:r>
        <w:rPr>
          <w:rFonts w:ascii="Arial" w:cs="Arial" w:eastAsia="Arial" w:hAnsi="Arial"/>
          <w:sz w:val="18"/>
          <w:szCs w:val="18"/>
          <w:color w:val="auto"/>
        </w:rPr>
        <w:t>revenue, which includes sales of our cloud subscriptions, license subscriptions, and maintenance and support, increased 19% year-over-year to $162.3 million. Professional services revenue was $40.6 million, an increase of 36% compared to the fourth quarter of 2024. Total revenue was $202.9 million, up 22% compared to the fourth quarter of 2024. Cloud net annualized recurring revenue (“ARR”) expansion was 114% as of December 31, 2025.</w:t>
      </w:r>
    </w:p>
    <w:p>
      <w:pPr>
        <w:spacing w:after="0" w:line="148" w:lineRule="exact"/>
        <w:rPr>
          <w:rFonts w:ascii="Arial" w:cs="Arial" w:eastAsia="Arial" w:hAnsi="Arial"/>
          <w:sz w:val="18"/>
          <w:szCs w:val="18"/>
          <w:color w:val="auto"/>
        </w:rPr>
      </w:pPr>
    </w:p>
    <w:p>
      <w:pPr>
        <w:ind w:left="660" w:right="480" w:hanging="328"/>
        <w:spacing w:after="0" w:line="234" w:lineRule="auto"/>
        <w:tabs>
          <w:tab w:leader="none" w:pos="647"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(loss) income and non-GAAP operating income: GAAP operating loss was $(0.7) million, compared to GAAP operating income of $5.0 million for the fourth quarter of 2024. Non-GAAP operating income was $17.4 million, compared to non-GAAP operating income of $18.7 million for the fourth quarter of 2024.</w:t>
      </w:r>
    </w:p>
    <w:p>
      <w:pPr>
        <w:spacing w:after="0" w:line="150" w:lineRule="exact"/>
        <w:rPr>
          <w:rFonts w:ascii="Arial" w:cs="Arial" w:eastAsia="Arial" w:hAnsi="Arial"/>
          <w:sz w:val="18"/>
          <w:szCs w:val="18"/>
          <w:color w:val="auto"/>
        </w:rPr>
      </w:pPr>
    </w:p>
    <w:p>
      <w:pPr>
        <w:ind w:left="660" w:right="100" w:hanging="328"/>
        <w:spacing w:after="0" w:line="238" w:lineRule="auto"/>
        <w:tabs>
          <w:tab w:leader="none" w:pos="647"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and non-GAAP net income (loss): GAAP net loss was $(5.1) million, compared to $(13.6) million for the fourth quarter of 2024. GAAP net loss per share was $(0.07) for the fourth quarter of 2025, compared to $(0.18) for the fourth quarter of 2024. Non-GAAP net income was $11.1 million, compared to non-GAAP net income of $13.2 million for the fourth quarter of 2024. Non-GAAP net income per share was $0.15, compared to the $0.18 net income per share for the fourth quarter of 2024.</w:t>
      </w:r>
    </w:p>
    <w:p>
      <w:pPr>
        <w:spacing w:after="0" w:line="119"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black"/>
        </w:rPr>
        <w:t xml:space="preserve">Adjusted EBITDA: </w:t>
      </w:r>
      <w:r>
        <w:rPr>
          <w:rFonts w:ascii="Arial" w:cs="Arial" w:eastAsia="Arial" w:hAnsi="Arial"/>
          <w:sz w:val="18"/>
          <w:szCs w:val="18"/>
          <w:color w:val="auto"/>
        </w:rPr>
        <w:t>Adjusted EBITDA was $19.7 million, compared to adjusted EBITDA of $21.2 million for the fourth quarter of 2024.</w:t>
      </w:r>
    </w:p>
    <w:p>
      <w:pPr>
        <w:spacing w:after="0" w:line="148" w:lineRule="exact"/>
        <w:rPr>
          <w:rFonts w:ascii="Arial" w:cs="Arial" w:eastAsia="Arial" w:hAnsi="Arial"/>
          <w:sz w:val="18"/>
          <w:szCs w:val="18"/>
          <w:color w:val="auto"/>
        </w:rPr>
      </w:pPr>
    </w:p>
    <w:p>
      <w:pPr>
        <w:ind w:left="660" w:right="140" w:hanging="328"/>
        <w:spacing w:after="0" w:line="227" w:lineRule="auto"/>
        <w:tabs>
          <w:tab w:leader="none" w:pos="647"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black"/>
        </w:rPr>
        <w:t xml:space="preserve">Cash flows: </w:t>
      </w:r>
      <w:r>
        <w:rPr>
          <w:rFonts w:ascii="Arial" w:cs="Arial" w:eastAsia="Arial" w:hAnsi="Arial"/>
          <w:sz w:val="18"/>
          <w:szCs w:val="18"/>
          <w:color w:val="auto"/>
        </w:rPr>
        <w:t>Net cash provided by operating activities was $1.1 million for the three months ended December 31, 2025 compared to</w:t>
      </w:r>
      <w:r>
        <w:rPr>
          <w:rFonts w:ascii="Arial" w:cs="Arial" w:eastAsia="Arial" w:hAnsi="Arial"/>
          <w:sz w:val="18"/>
          <w:szCs w:val="18"/>
          <w:color w:val="auto"/>
          <w:highlight w:val="black"/>
        </w:rPr>
        <w:t xml:space="preserve"> </w:t>
      </w:r>
      <w:r>
        <w:rPr>
          <w:rFonts w:ascii="Arial" w:cs="Arial" w:eastAsia="Arial" w:hAnsi="Arial"/>
          <w:sz w:val="18"/>
          <w:szCs w:val="18"/>
          <w:color w:val="auto"/>
        </w:rPr>
        <w:t>$13.9 million of net cash provided by operating activities for the same period in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Full Year 2025 Financial Highlights:</w:t>
      </w:r>
    </w:p>
    <w:p>
      <w:pPr>
        <w:spacing w:after="0" w:line="283" w:lineRule="exact"/>
        <w:rPr>
          <w:sz w:val="20"/>
          <w:szCs w:val="20"/>
          <w:color w:val="auto"/>
        </w:rPr>
      </w:pPr>
    </w:p>
    <w:p>
      <w:pPr>
        <w:ind w:left="660" w:right="140" w:hanging="328"/>
        <w:spacing w:after="0" w:line="238" w:lineRule="auto"/>
        <w:tabs>
          <w:tab w:leader="none" w:pos="647" w:val="left"/>
        </w:tabs>
        <w:numPr>
          <w:ilvl w:val="0"/>
          <w:numId w:val="3"/>
        </w:numPr>
        <w:rPr>
          <w:rFonts w:ascii="Arial" w:cs="Arial" w:eastAsia="Arial" w:hAnsi="Arial"/>
          <w:sz w:val="18"/>
          <w:szCs w:val="18"/>
          <w:color w:val="auto"/>
        </w:rPr>
      </w:pPr>
      <w:r>
        <w:rPr>
          <w:rFonts w:ascii="Arial" w:cs="Arial" w:eastAsia="Arial" w:hAnsi="Arial"/>
          <w:sz w:val="18"/>
          <w:szCs w:val="18"/>
          <w:color w:val="auto"/>
          <w:highlight w:val="black"/>
        </w:rPr>
        <w:t xml:space="preserve">Revenue: </w:t>
      </w:r>
      <w:r>
        <w:rPr>
          <w:rFonts w:ascii="Arial" w:cs="Arial" w:eastAsia="Arial" w:hAnsi="Arial"/>
          <w:sz w:val="18"/>
          <w:szCs w:val="18"/>
          <w:color w:val="auto"/>
        </w:rPr>
        <w:t>Cloud subscriptions revenue was $437.4 million for the full year 2025, up 19% compared to the full year 2024. Total</w:t>
      </w:r>
      <w:r>
        <w:rPr>
          <w:rFonts w:ascii="Arial" w:cs="Arial" w:eastAsia="Arial" w:hAnsi="Arial"/>
          <w:sz w:val="18"/>
          <w:szCs w:val="18"/>
          <w:color w:val="auto"/>
          <w:highlight w:val="black"/>
        </w:rPr>
        <w:t xml:space="preserve"> </w:t>
      </w:r>
      <w:r>
        <w:rPr>
          <w:rFonts w:ascii="Arial" w:cs="Arial" w:eastAsia="Arial" w:hAnsi="Arial"/>
          <w:sz w:val="18"/>
          <w:szCs w:val="18"/>
          <w:color w:val="auto"/>
        </w:rPr>
        <w:t>subscriptions revenue increased 18% year-over-year to $576.5 million for the full year 2025. Professional services revenue was $150.5 million for the full year 2025, compared to $126.5 million for the full year 2024. Total revenue was $726.9 million for the full year 2025, up 18% compared to the full year 2024.</w:t>
      </w:r>
    </w:p>
    <w:p>
      <w:pPr>
        <w:spacing w:after="0" w:line="150" w:lineRule="exact"/>
        <w:rPr>
          <w:rFonts w:ascii="Arial" w:cs="Arial" w:eastAsia="Arial" w:hAnsi="Arial"/>
          <w:sz w:val="18"/>
          <w:szCs w:val="18"/>
          <w:color w:val="auto"/>
        </w:rPr>
      </w:pPr>
    </w:p>
    <w:p>
      <w:pPr>
        <w:ind w:left="660" w:right="120" w:hanging="328"/>
        <w:spacing w:after="0" w:line="234" w:lineRule="auto"/>
        <w:tabs>
          <w:tab w:leader="none" w:pos="647"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(loss) and non-GAAP operating income: GAAP operating income was $0.6 million for the full year 2025, compared to GAAP operating losses of $(60.9) million for the full year 2024. Non-GAAP operating income was $67.1 million for the full year 2025, compared to non-GAAP operating income $10.2 million for the full year 2024.</w:t>
      </w:r>
    </w:p>
    <w:p>
      <w:pPr>
        <w:sectPr>
          <w:pgSz w:w="11900" w:h="16838" w:orient="portrait"/>
          <w:cols w:equalWidth="0" w:num="1">
            <w:col w:w="11240"/>
          </w:cols>
          <w:pgMar w:left="320" w:top="1279" w:right="339" w:bottom="1440" w:gutter="0" w:footer="0" w:header="0"/>
        </w:sectPr>
      </w:pPr>
    </w:p>
    <w:bookmarkStart w:id="4" w:name="page5"/>
    <w:bookmarkEnd w:id="4"/>
    <w:p>
      <w:pPr>
        <w:ind w:left="660" w:hanging="328"/>
        <w:spacing w:after="0" w:line="241"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(loss) and non-GAAP net income (loss): GAAP net income was $1.2 million for the full year 2025, compared to GAAP net loss of $(92.3) million for the full year 2024. GAAP basic and diluted net income per share was $0.02 for the full year 2025, compared to $(1.26) net loss per share for the full year 2024. Non-GAAP net income was $45.6 million for the full year 2025, compared to $(9.4) million of non-GAAP net loss for the full year 2024. Non-GAAP net income per diluted share was $0.61 for the full year 2025, compared to the $(0.13) net loss per share for the full year 2024.</w:t>
      </w:r>
    </w:p>
    <w:p>
      <w:pPr>
        <w:spacing w:after="0" w:line="148" w:lineRule="exact"/>
        <w:rPr>
          <w:rFonts w:ascii="Arial" w:cs="Arial" w:eastAsia="Arial" w:hAnsi="Arial"/>
          <w:sz w:val="18"/>
          <w:szCs w:val="18"/>
          <w:color w:val="auto"/>
        </w:rPr>
      </w:pPr>
    </w:p>
    <w:p>
      <w:pPr>
        <w:ind w:left="660" w:right="220" w:hanging="328"/>
        <w:spacing w:after="0" w:line="227"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highlight w:val="black"/>
        </w:rPr>
        <w:t>Adjusted EBITDA</w:t>
      </w:r>
      <w:r>
        <w:rPr>
          <w:rFonts w:ascii="Arial" w:cs="Arial" w:eastAsia="Arial" w:hAnsi="Arial"/>
          <w:sz w:val="18"/>
          <w:szCs w:val="18"/>
          <w:color w:val="auto"/>
        </w:rPr>
        <w:t>: Adjusted EBITDA was $76.8 million for the full year 2025, compared to adjusted EBITDA of $20.3 million for the</w:t>
      </w:r>
      <w:r>
        <w:rPr>
          <w:rFonts w:ascii="Arial" w:cs="Arial" w:eastAsia="Arial" w:hAnsi="Arial"/>
          <w:sz w:val="18"/>
          <w:szCs w:val="18"/>
          <w:color w:val="auto"/>
          <w:highlight w:val="black"/>
        </w:rPr>
        <w:t xml:space="preserve"> </w:t>
      </w:r>
      <w:r>
        <w:rPr>
          <w:rFonts w:ascii="Arial" w:cs="Arial" w:eastAsia="Arial" w:hAnsi="Arial"/>
          <w:sz w:val="18"/>
          <w:szCs w:val="18"/>
          <w:color w:val="auto"/>
        </w:rPr>
        <w:t>full year 2024.</w:t>
      </w:r>
    </w:p>
    <w:p>
      <w:pPr>
        <w:spacing w:after="0" w:line="148" w:lineRule="exact"/>
        <w:rPr>
          <w:rFonts w:ascii="Arial" w:cs="Arial" w:eastAsia="Arial" w:hAnsi="Arial"/>
          <w:sz w:val="18"/>
          <w:szCs w:val="18"/>
          <w:color w:val="auto"/>
        </w:rPr>
      </w:pPr>
    </w:p>
    <w:p>
      <w:pPr>
        <w:ind w:left="660" w:right="40" w:hanging="328"/>
        <w:spacing w:after="0" w:line="234"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 sheet and cash flows: As of December 31, 2025, Appian had total cash, cash equivalents, and investments of $187.2 million. Net cash provided by operating activities was $62.9 million for the full year 2025, compared to $6.9 million of net cash provided by operating activities for the full year 2024.</w:t>
      </w:r>
    </w:p>
    <w:p>
      <w:pPr>
        <w:spacing w:after="0" w:line="286" w:lineRule="exact"/>
        <w:rPr>
          <w:sz w:val="20"/>
          <w:szCs w:val="20"/>
          <w:color w:val="auto"/>
        </w:rPr>
      </w:pPr>
    </w:p>
    <w:p>
      <w:pPr>
        <w:ind w:right="440"/>
        <w:spacing w:after="0" w:line="227" w:lineRule="auto"/>
        <w:rPr>
          <w:sz w:val="20"/>
          <w:szCs w:val="20"/>
          <w:color w:val="auto"/>
        </w:rPr>
      </w:pPr>
      <w:r>
        <w:rPr>
          <w:rFonts w:ascii="Arial" w:cs="Arial" w:eastAsia="Arial" w:hAnsi="Arial"/>
          <w:sz w:val="18"/>
          <w:szCs w:val="18"/>
          <w:color w:val="auto"/>
        </w:rPr>
        <w:t>A reconciliation of GAAP to non-GAAP financial measures has been provided in the tables following the financial statements in this press release. An explanation of these measures is also included below under the heading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Recent Business Highlights:</w:t>
      </w:r>
    </w:p>
    <w:p>
      <w:pPr>
        <w:spacing w:after="0" w:line="252"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Army Awards Appian Enterprise Agreement to Support AI-Powered Transformation Efforts</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Appian AI Transforms Clinical Workflows for Global Public Health Agencies</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Appian Launches New AI Capabilities to Automate Complex Work &amp; Accelerate App Modernization</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Appian Names 2025 Public Sector Partner Award Winners</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Zealand Police Use Appian for Case Processing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Financial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19, 2026, guidance for 2026 is as follows:</w:t>
      </w:r>
    </w:p>
    <w:p>
      <w:pPr>
        <w:spacing w:after="0" w:line="252"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Quarter 2026 Guidance:</w:t>
      </w:r>
    </w:p>
    <w:p>
      <w:pPr>
        <w:spacing w:after="0" w:line="283" w:lineRule="exact"/>
        <w:rPr>
          <w:rFonts w:ascii="Arial" w:cs="Arial" w:eastAsia="Arial" w:hAnsi="Arial"/>
          <w:sz w:val="18"/>
          <w:szCs w:val="18"/>
          <w:color w:val="auto"/>
        </w:rPr>
      </w:pPr>
    </w:p>
    <w:p>
      <w:pPr>
        <w:ind w:left="1300" w:right="560" w:hanging="320"/>
        <w:spacing w:after="0" w:line="181" w:lineRule="auto"/>
        <w:tabs>
          <w:tab w:leader="none" w:pos="1296" w:val="left"/>
        </w:tabs>
        <w:numPr>
          <w:ilvl w:val="1"/>
          <w:numId w:val="6"/>
        </w:numPr>
        <w:rPr>
          <w:rFonts w:ascii="Arial" w:cs="Arial" w:eastAsia="Arial" w:hAnsi="Arial"/>
          <w:sz w:val="27"/>
          <w:szCs w:val="27"/>
          <w:color w:val="auto"/>
          <w:vertAlign w:val="superscript"/>
        </w:rPr>
      </w:pPr>
      <w:r>
        <w:rPr>
          <w:rFonts w:ascii="Arial" w:cs="Arial" w:eastAsia="Arial" w:hAnsi="Arial"/>
          <w:sz w:val="18"/>
          <w:szCs w:val="18"/>
          <w:color w:val="auto"/>
        </w:rPr>
        <w:t>Cloud subscriptions revenue is expected to be between $119.0 million and $121.0 million, representing year-over-year growth of 19% to 21%.</w:t>
      </w:r>
    </w:p>
    <w:p>
      <w:pPr>
        <w:spacing w:after="0" w:line="149" w:lineRule="exact"/>
        <w:rPr>
          <w:rFonts w:ascii="Arial" w:cs="Arial" w:eastAsia="Arial" w:hAnsi="Arial"/>
          <w:sz w:val="27"/>
          <w:szCs w:val="27"/>
          <w:color w:val="auto"/>
          <w:vertAlign w:val="superscript"/>
        </w:rPr>
      </w:pPr>
    </w:p>
    <w:p>
      <w:pPr>
        <w:ind w:left="1300" w:right="220" w:hanging="320"/>
        <w:spacing w:after="0" w:line="181" w:lineRule="auto"/>
        <w:tabs>
          <w:tab w:leader="none" w:pos="1296" w:val="left"/>
        </w:tabs>
        <w:numPr>
          <w:ilvl w:val="1"/>
          <w:numId w:val="6"/>
        </w:numPr>
        <w:rPr>
          <w:rFonts w:ascii="Arial" w:cs="Arial" w:eastAsia="Arial" w:hAnsi="Arial"/>
          <w:sz w:val="27"/>
          <w:szCs w:val="27"/>
          <w:color w:val="auto"/>
          <w:vertAlign w:val="superscript"/>
        </w:rPr>
      </w:pPr>
      <w:r>
        <w:rPr>
          <w:rFonts w:ascii="Arial" w:cs="Arial" w:eastAsia="Arial" w:hAnsi="Arial"/>
          <w:sz w:val="18"/>
          <w:szCs w:val="18"/>
          <w:color w:val="auto"/>
        </w:rPr>
        <w:t>Total revenue is expected to be between $189.0 million and $193.0 million, representing a year-over-year increase of 14% to 16%.</w:t>
      </w:r>
    </w:p>
    <w:p>
      <w:pPr>
        <w:spacing w:after="0" w:line="14" w:lineRule="exact"/>
        <w:rPr>
          <w:rFonts w:ascii="Arial" w:cs="Arial" w:eastAsia="Arial" w:hAnsi="Arial"/>
          <w:sz w:val="27"/>
          <w:szCs w:val="27"/>
          <w:color w:val="auto"/>
          <w:vertAlign w:val="superscript"/>
        </w:rPr>
      </w:pPr>
    </w:p>
    <w:p>
      <w:pPr>
        <w:ind w:left="1300" w:hanging="320"/>
        <w:spacing w:after="0"/>
        <w:tabs>
          <w:tab w:leader="none" w:pos="1300" w:val="left"/>
        </w:tabs>
        <w:numPr>
          <w:ilvl w:val="1"/>
          <w:numId w:val="6"/>
        </w:numPr>
        <w:rPr>
          <w:rFonts w:ascii="Arial" w:cs="Arial" w:eastAsia="Arial" w:hAnsi="Arial"/>
          <w:sz w:val="27"/>
          <w:szCs w:val="27"/>
          <w:color w:val="auto"/>
          <w:vertAlign w:val="superscript"/>
        </w:rPr>
      </w:pPr>
      <w:r>
        <w:rPr>
          <w:rFonts w:ascii="Arial" w:cs="Arial" w:eastAsia="Arial" w:hAnsi="Arial"/>
          <w:sz w:val="18"/>
          <w:szCs w:val="18"/>
          <w:color w:val="auto"/>
        </w:rPr>
        <w:t>Adjusted EBITDA is expected to be between $19.0 million and $22.0 million.</w:t>
      </w:r>
    </w:p>
    <w:p>
      <w:pPr>
        <w:spacing w:after="0" w:line="148" w:lineRule="exact"/>
        <w:rPr>
          <w:rFonts w:ascii="Arial" w:cs="Arial" w:eastAsia="Arial" w:hAnsi="Arial"/>
          <w:sz w:val="27"/>
          <w:szCs w:val="27"/>
          <w:color w:val="auto"/>
          <w:vertAlign w:val="superscript"/>
        </w:rPr>
      </w:pPr>
    </w:p>
    <w:p>
      <w:pPr>
        <w:ind w:left="1300" w:right="240" w:hanging="320"/>
        <w:spacing w:after="0" w:line="181" w:lineRule="auto"/>
        <w:tabs>
          <w:tab w:leader="none" w:pos="1296" w:val="left"/>
        </w:tabs>
        <w:numPr>
          <w:ilvl w:val="1"/>
          <w:numId w:val="6"/>
        </w:numPr>
        <w:rPr>
          <w:rFonts w:ascii="Arial" w:cs="Arial" w:eastAsia="Arial" w:hAnsi="Arial"/>
          <w:sz w:val="27"/>
          <w:szCs w:val="27"/>
          <w:color w:val="auto"/>
          <w:vertAlign w:val="superscript"/>
        </w:rPr>
      </w:pPr>
      <w:r>
        <w:rPr>
          <w:rFonts w:ascii="Arial" w:cs="Arial" w:eastAsia="Arial" w:hAnsi="Arial"/>
          <w:sz w:val="18"/>
          <w:szCs w:val="18"/>
          <w:color w:val="auto"/>
        </w:rPr>
        <w:t>Non-GAAP net income per share is expected to be between $0.16 and $0.20, assuming weighted average common shares outstanding of 75.1 million.</w:t>
      </w:r>
    </w:p>
    <w:p>
      <w:pPr>
        <w:spacing w:after="0" w:line="253" w:lineRule="exact"/>
        <w:rPr>
          <w:rFonts w:ascii="Arial" w:cs="Arial" w:eastAsia="Arial" w:hAnsi="Arial"/>
          <w:sz w:val="27"/>
          <w:szCs w:val="27"/>
          <w:color w:val="auto"/>
          <w:vertAlign w:val="superscript"/>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 Year 2026 Guidance:</w:t>
      </w:r>
    </w:p>
    <w:p>
      <w:pPr>
        <w:spacing w:after="0" w:line="283" w:lineRule="exact"/>
        <w:rPr>
          <w:rFonts w:ascii="Arial" w:cs="Arial" w:eastAsia="Arial" w:hAnsi="Arial"/>
          <w:sz w:val="18"/>
          <w:szCs w:val="18"/>
          <w:color w:val="auto"/>
        </w:rPr>
      </w:pPr>
    </w:p>
    <w:p>
      <w:pPr>
        <w:ind w:left="1300" w:right="560" w:hanging="320"/>
        <w:spacing w:after="0" w:line="181" w:lineRule="auto"/>
        <w:tabs>
          <w:tab w:leader="none" w:pos="1296" w:val="left"/>
        </w:tabs>
        <w:numPr>
          <w:ilvl w:val="1"/>
          <w:numId w:val="6"/>
        </w:numPr>
        <w:rPr>
          <w:rFonts w:ascii="Arial" w:cs="Arial" w:eastAsia="Arial" w:hAnsi="Arial"/>
          <w:sz w:val="27"/>
          <w:szCs w:val="27"/>
          <w:color w:val="auto"/>
          <w:vertAlign w:val="superscript"/>
        </w:rPr>
      </w:pPr>
      <w:r>
        <w:rPr>
          <w:rFonts w:ascii="Arial" w:cs="Arial" w:eastAsia="Arial" w:hAnsi="Arial"/>
          <w:sz w:val="18"/>
          <w:szCs w:val="18"/>
          <w:color w:val="auto"/>
        </w:rPr>
        <w:t>Cloud subscriptions revenue is expected to be between $502.0 million and $510.0 million, representing year-over-year growth of 15% to 17%.</w:t>
      </w:r>
    </w:p>
    <w:p>
      <w:pPr>
        <w:spacing w:after="0" w:line="149" w:lineRule="exact"/>
        <w:rPr>
          <w:rFonts w:ascii="Arial" w:cs="Arial" w:eastAsia="Arial" w:hAnsi="Arial"/>
          <w:sz w:val="27"/>
          <w:szCs w:val="27"/>
          <w:color w:val="auto"/>
          <w:vertAlign w:val="superscript"/>
        </w:rPr>
      </w:pPr>
    </w:p>
    <w:p>
      <w:pPr>
        <w:ind w:left="1300" w:right="20" w:hanging="320"/>
        <w:spacing w:after="0" w:line="181" w:lineRule="auto"/>
        <w:tabs>
          <w:tab w:leader="none" w:pos="1296" w:val="left"/>
        </w:tabs>
        <w:numPr>
          <w:ilvl w:val="1"/>
          <w:numId w:val="6"/>
        </w:numPr>
        <w:rPr>
          <w:rFonts w:ascii="Arial" w:cs="Arial" w:eastAsia="Arial" w:hAnsi="Arial"/>
          <w:sz w:val="27"/>
          <w:szCs w:val="27"/>
          <w:color w:val="auto"/>
          <w:vertAlign w:val="superscript"/>
        </w:rPr>
      </w:pPr>
      <w:r>
        <w:rPr>
          <w:rFonts w:ascii="Arial" w:cs="Arial" w:eastAsia="Arial" w:hAnsi="Arial"/>
          <w:sz w:val="18"/>
          <w:szCs w:val="18"/>
          <w:color w:val="auto"/>
        </w:rPr>
        <w:t>Total revenue is expected to be between $801.0 million and $817.0 million, representing a year-over-year increase of 10% to 12%.</w:t>
      </w:r>
    </w:p>
    <w:p>
      <w:pPr>
        <w:spacing w:after="0" w:line="14" w:lineRule="exact"/>
        <w:rPr>
          <w:rFonts w:ascii="Arial" w:cs="Arial" w:eastAsia="Arial" w:hAnsi="Arial"/>
          <w:sz w:val="27"/>
          <w:szCs w:val="27"/>
          <w:color w:val="auto"/>
          <w:vertAlign w:val="superscript"/>
        </w:rPr>
      </w:pPr>
    </w:p>
    <w:p>
      <w:pPr>
        <w:ind w:left="1300" w:hanging="320"/>
        <w:spacing w:after="0"/>
        <w:tabs>
          <w:tab w:leader="none" w:pos="1300" w:val="left"/>
        </w:tabs>
        <w:numPr>
          <w:ilvl w:val="1"/>
          <w:numId w:val="6"/>
        </w:numPr>
        <w:rPr>
          <w:rFonts w:ascii="Arial" w:cs="Arial" w:eastAsia="Arial" w:hAnsi="Arial"/>
          <w:sz w:val="27"/>
          <w:szCs w:val="27"/>
          <w:color w:val="auto"/>
          <w:vertAlign w:val="superscript"/>
        </w:rPr>
      </w:pPr>
      <w:r>
        <w:rPr>
          <w:rFonts w:ascii="Arial" w:cs="Arial" w:eastAsia="Arial" w:hAnsi="Arial"/>
          <w:sz w:val="18"/>
          <w:szCs w:val="18"/>
          <w:color w:val="auto"/>
        </w:rPr>
        <w:t>Adjusted EBITDA is expected to be between $89.0 million and $99.0 million.</w:t>
      </w:r>
    </w:p>
    <w:p>
      <w:pPr>
        <w:spacing w:after="0" w:line="148" w:lineRule="exact"/>
        <w:rPr>
          <w:rFonts w:ascii="Arial" w:cs="Arial" w:eastAsia="Arial" w:hAnsi="Arial"/>
          <w:sz w:val="27"/>
          <w:szCs w:val="27"/>
          <w:color w:val="auto"/>
          <w:vertAlign w:val="superscript"/>
        </w:rPr>
      </w:pPr>
    </w:p>
    <w:p>
      <w:pPr>
        <w:ind w:left="1300" w:right="240" w:hanging="320"/>
        <w:spacing w:after="0" w:line="181" w:lineRule="auto"/>
        <w:tabs>
          <w:tab w:leader="none" w:pos="1296" w:val="left"/>
        </w:tabs>
        <w:numPr>
          <w:ilvl w:val="1"/>
          <w:numId w:val="6"/>
        </w:numPr>
        <w:rPr>
          <w:rFonts w:ascii="Arial" w:cs="Arial" w:eastAsia="Arial" w:hAnsi="Arial"/>
          <w:sz w:val="27"/>
          <w:szCs w:val="27"/>
          <w:color w:val="auto"/>
          <w:vertAlign w:val="superscript"/>
        </w:rPr>
      </w:pPr>
      <w:r>
        <w:rPr>
          <w:rFonts w:ascii="Arial" w:cs="Arial" w:eastAsia="Arial" w:hAnsi="Arial"/>
          <w:sz w:val="18"/>
          <w:szCs w:val="18"/>
          <w:color w:val="auto"/>
        </w:rPr>
        <w:t>Non-GAAP net income per share is expected to be between $0.82 and $0.96, assuming weighted average common shares outstanding of 74.8 million.</w:t>
      </w:r>
    </w:p>
    <w:p>
      <w:pPr>
        <w:sectPr>
          <w:pgSz w:w="11900" w:h="16838" w:orient="portrait"/>
          <w:cols w:equalWidth="0" w:num="1">
            <w:col w:w="11240"/>
          </w:cols>
          <w:pgMar w:left="320" w:top="1311" w:right="339" w:bottom="1440" w:gutter="0" w:footer="0" w:header="0"/>
        </w:sectPr>
      </w:pPr>
    </w:p>
    <w:bookmarkStart w:id="5" w:name="page6"/>
    <w:bookmarkEnd w:id="5"/>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w:t>
      </w:r>
    </w:p>
    <w:p>
      <w:pPr>
        <w:spacing w:after="0" w:line="283"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Appian will host a conference call today, February 19, 2026, at 8:30 a.m. ET to discuss Appian's financial results for the fourth quarter and fiscal year ended December 31, 2025 and business outlook.</w:t>
      </w:r>
    </w:p>
    <w:p>
      <w:pPr>
        <w:spacing w:after="0" w:line="264"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To access the call, navigate to the following link</w:t>
      </w:r>
      <w:r>
        <w:rPr>
          <w:rFonts w:ascii="Arial" w:cs="Arial" w:eastAsia="Arial" w:hAnsi="Arial"/>
          <w:sz w:val="22"/>
          <w:szCs w:val="22"/>
          <w:color w:val="auto"/>
          <w:vertAlign w:val="superscript"/>
        </w:rPr>
        <w:t>(1)</w:t>
      </w:r>
      <w:r>
        <w:rPr>
          <w:rFonts w:ascii="Arial" w:cs="Arial" w:eastAsia="Arial" w:hAnsi="Arial"/>
          <w:sz w:val="18"/>
          <w:szCs w:val="18"/>
          <w:color w:val="auto"/>
        </w:rPr>
        <w:t>. Once registered, participants can dial in using their phone with a dial in and PIN, or they can choose the Call Me option for instant dial to their phone. The live webcast of the conference call can also be accessed on the Investor Relations page of our website at https://investors.appian.com.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About Appian</w:t>
      </w:r>
    </w:p>
    <w:p>
      <w:pPr>
        <w:spacing w:after="0" w:line="283"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Appian provides process automation technology. We automate complex processes in large enterprises and governments. Our platform is known for its unique reliability and scale. We’ve been automating processes for 25 years and understand enterprise operations like no one else. For more information, visit appian.com. [Nasdaq: APPN]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w:t>
      </w:r>
    </w:p>
    <w:p>
      <w:pPr>
        <w:spacing w:after="0" w:line="28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To supplement its consolidated financial statements, which are prepared and presented in accordance with GAAP, Appian provides investors with certain non-GAAP financial performance measures. Appian uses these non-GAAP financial performance measures for financial and operational decision-making and as a means to evaluate period-to-period comparisons. Appian’s management believes these non-GAAP financial measures provide meaningful supplemental information regarding Appian’s performance by excluding certain expenses that may not be indicative of our recurring core business operating results. Appian believes both management and investors benefit from referring to these non-GAAP financial measures in assessing Appian’s performance and when planning, forecasting, and analyzing future periods. These non-GAAP financial measures also facilitate management’s internal comparisons to historical performance as well as comparisons to competitors’ operating results. Appian believes these non-GAAP financial measures are useful to investors both because (1) they allow for greater transparency with respect to measures used by management in its financial and operational decision-making and (2) they are used by institutional investors and the analyst community to help them analyze the health of Appian’s business.</w:t>
      </w:r>
    </w:p>
    <w:p>
      <w:pPr>
        <w:spacing w:after="0" w:line="28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non-GAAP financial performance measures include the following: non-GAAP subscriptions cost of revenue, non-GAAP professional services cost of revenue, non-GAAP total cost of revenue, non-GAAP total operating expense, non-GAAP operating income (loss), non-GAAP income tax expense, non-GAAP net income (loss), and non-GAAP net income (loss) per share, basic and diluted. These non-GAAP financial performance measures exclude the effect of stock-based compensation expense, unrealized foreign exchange rate gains and losses, certain non-ordinary litigation-related expenses consisting of legal and other professional fees associated with the Pegasystems cases (net of insurance reimbursements), or Litigation Expense, amortization of the judgment preservation insurance policy, or JPI Amortization, severance costs related to involuntary reductions in our workforce, or Severance Costs, lease impairments and lease-related charges associated with actions taken to reduce the footprint of our leased office spaces, or Lease Impairment and Lease-Related Charges, and a short-swing profit disgorgement paid to us by an investor, or Short-Swing Profit Payment. While some of these items may be recurring in nature and should not be disregarded in the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in the future, we believe removing these items for purposes of calculating our non-GAAP financial measures provides investors with a more focused presentation of our ongoing operating performance.</w:t>
      </w:r>
    </w:p>
    <w:p>
      <w:pPr>
        <w:spacing w:after="0" w:line="285"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Appian also discusses adjusted EBITDA, a non-GAAP financial performance measure it believes offers a useful view of the overall operation of its businesses. The Company defines adjusted EBITDA as net (loss) income before (1) other (income) expense, net, (2) interest expense,</w:t>
      </w:r>
    </w:p>
    <w:p>
      <w:pPr>
        <w:spacing w:after="0" w:line="18" w:lineRule="exact"/>
        <w:rPr>
          <w:sz w:val="20"/>
          <w:szCs w:val="20"/>
          <w:color w:val="auto"/>
        </w:rPr>
      </w:pPr>
    </w:p>
    <w:p>
      <w:pPr>
        <w:ind w:right="500" w:firstLine="8"/>
        <w:spacing w:after="0" w:line="270" w:lineRule="auto"/>
        <w:tabs>
          <w:tab w:leader="none" w:pos="29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income tax expense, (4) depreciation expense and amortization of intangible assets, (5) stock-based compensation expense, (6) Litigation Expense, (7) JPI Amortization, (8) Severance Costs, and (9) Lease Impairment and Lease-Related Charges. The most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https://register-conf.media-server.com/register/BI615bc1f3042f4951a1f347fb0187d4be</w:t>
      </w:r>
    </w:p>
    <w:p>
      <w:pPr>
        <w:sectPr>
          <w:pgSz w:w="11900" w:h="16838" w:orient="portrait"/>
          <w:cols w:equalWidth="0" w:num="1">
            <w:col w:w="11240"/>
          </w:cols>
          <w:pgMar w:left="320" w:top="1440" w:right="339" w:bottom="1440" w:gutter="0" w:footer="0" w:header="0"/>
        </w:sectPr>
      </w:pPr>
    </w:p>
    <w:bookmarkStart w:id="6" w:name="page7"/>
    <w:bookmarkEnd w:id="6"/>
    <w:p>
      <w:pPr>
        <w:jc w:val="both"/>
        <w:ind w:right="620"/>
        <w:spacing w:after="0" w:line="238" w:lineRule="auto"/>
        <w:rPr>
          <w:sz w:val="20"/>
          <w:szCs w:val="20"/>
          <w:color w:val="auto"/>
        </w:rPr>
      </w:pPr>
      <w:r>
        <w:rPr>
          <w:rFonts w:ascii="Arial" w:cs="Arial" w:eastAsia="Arial" w:hAnsi="Arial"/>
          <w:sz w:val="18"/>
          <w:szCs w:val="18"/>
          <w:color w:val="auto"/>
        </w:rPr>
        <w:t>comparable GAAP financial measure to adjusted EBITDA is net income (loss). Users should consider the limitations of using adjusted EBITDA, including the fact this measure does not provide a complete depiction of our operating performance. Adjusted EBITDA is not intended to purport to be an alternative to net income (loss) as a measure of operating performance or to cash flows from operating activities as a measure of liquidity.</w:t>
      </w:r>
    </w:p>
    <w:p>
      <w:pPr>
        <w:spacing w:after="0" w:line="28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presentation of these non-GAAP financial measures is not intended to be considered in isolation from, as a substitute for, or superior to the financial information prepared and presented in accordance with GAAP, and Appian’s non-GAAP measures may be different from non-GAAP measures used by other companies. For more information on these non-GAAP financial measures, see the reconciliation of these non-GAAP financial measures to their nearest comparable GAAP measures at the end of this press release.</w:t>
      </w:r>
    </w:p>
    <w:p>
      <w:pPr>
        <w:spacing w:after="0" w:line="28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Appian provides guidance ranges for non-GAAP net income (loss) per share and adjusted EBITDA; however, we are not able to reconcile these amounts to their comparable GAAP financial measures without unreasonable efforts because certain information necessary to calculate such measures on a GAAP basis is unavailable, subject to high variability, dependent on future events outside of our control, and cannot be predicted. In addition, Appian believes such reconciliations could imply a degree of precision that might be confusing or misleading to investors. The actual effect of the reconciling items that Appian may exclude from these non-GAAP expense numbers, when determined, may be significant to the calculation of the comparable GAAP measures.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8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All statements contained in this press release other than statements of historical facts, including statements regarding Appian’s future financial and business performance for the first quarter and full year 2026, future investment by Appian in its go-to-market initiatives, increased demand for the Appian Platform, market opportunity and plans and objectives for future operations, including Appian’s ability to drive continued subscriptions revenue and total revenue growth, are forward-looking statements. The words “anticipate,” “believe,” “continue,” “estimate,” “expect,” “intend,” “may,” “will,” “plan,” and similar expressions are intended to identify forward-looking statements. Appian has based these forward-looking statements on its current expectations and projections about future events and financial trends that Appian believes may affect its financial condition, results of operations, business strategy, short-term and long-term business operations and objectives, and financial needs. These forward-looking statements are subject to a number of risks and uncertainties, including the risks and uncertainties associated with Appian’s market opportunity and the expansion of its core software markets in general, the opportunity and disruptive impact of AI, the effects of increased competition, as well as innovations by new and existing competitors in its market, Appian’s ability to effectively manage or sustain its growth and to maintain profitability, Appian’s ability to maintain, or strengthen awareness of, its brand, risks and uncertainties associated with the composition and concentration of Appian’s customer base and their demand for its platform and satisfaction with the services provided by Appian, Appian’s ability to operate in compliance with applicable laws and regulations, Appian’s strategic relationships with third parties, and additional risks and uncertainties set forth in the “Risk Factors” section of Appian’s most recent annual report on Form 10-K, quarterly reports on Form 10-Q, and other filings with the Securities and Exchange Commission. Moreover, Appian operates in a very competitive and rapidly changing environment. New risks emerge from time to time. It is not possible for Appian’s management to predict all risks, nor can Appian assess the impact of all factors on its business or the extent to which any factor, or combination of factors, may cause actual results to differ materially from those contained in any forward-looking statements Appian may make. In light of these risks, uncertainties, and assumptions, Appian cannot guarantee future results, levels of activity, performance, achievements, or events and circumstances reflected in the forward-looking statements will occur. Appian is under no duty to update any of these forward-looking statements after the date of this press release to conform these statements to actual results or revised expectations, except as required by law.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investors@appian.com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 Miller</w:t>
      </w:r>
    </w:p>
    <w:p>
      <w:pPr>
        <w:sectPr>
          <w:pgSz w:w="11900" w:h="16838" w:orient="portrait"/>
          <w:cols w:equalWidth="0" w:num="1">
            <w:col w:w="11220"/>
          </w:cols>
          <w:pgMar w:left="320" w:top="1311"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Senior Manager, Media Relations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pr@appian.com</w:t>
      </w:r>
    </w:p>
    <w:p>
      <w:pPr>
        <w:sectPr>
          <w:pgSz w:w="11900" w:h="16838" w:orient="portrait"/>
          <w:cols w:equalWidth="0" w:num="1">
            <w:col w:w="10139"/>
          </w:cols>
          <w:pgMar w:left="320" w:top="1302"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ind w:left="4080"/>
              <w:spacing w:after="0"/>
              <w:rPr>
                <w:sz w:val="20"/>
                <w:szCs w:val="20"/>
                <w:color w:val="auto"/>
              </w:rPr>
            </w:pPr>
            <w:r>
              <w:rPr>
                <w:rFonts w:ascii="Arial" w:cs="Arial" w:eastAsia="Arial" w:hAnsi="Arial"/>
                <w:sz w:val="14"/>
                <w:szCs w:val="14"/>
                <w:color w:val="auto"/>
              </w:rPr>
              <w:t>(in thousands, except par value and share data)</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710"/>
              <w:spacing w:after="0"/>
              <w:rPr>
                <w:sz w:val="20"/>
                <w:szCs w:val="20"/>
                <w:color w:val="auto"/>
              </w:rPr>
            </w:pPr>
            <w:r>
              <w:rPr>
                <w:rFonts w:ascii="Arial" w:cs="Arial" w:eastAsia="Arial" w:hAnsi="Arial"/>
                <w:sz w:val="14"/>
                <w:szCs w:val="14"/>
                <w:color w:val="auto"/>
                <w:highlight w:val="black"/>
              </w:rPr>
              <w:t>As of December 31,</w:t>
            </w:r>
          </w:p>
        </w:tc>
      </w:tr>
      <w:tr>
        <w:trPr>
          <w:trHeight w:val="24"/>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0"/>
              <w:spacing w:after="0"/>
              <w:rPr>
                <w:sz w:val="20"/>
                <w:szCs w:val="20"/>
                <w:color w:val="auto"/>
              </w:rPr>
            </w:pPr>
            <w:r>
              <w:rPr>
                <w:rFonts w:ascii="Arial" w:cs="Arial" w:eastAsia="Arial" w:hAnsi="Arial"/>
                <w:sz w:val="14"/>
                <w:szCs w:val="14"/>
                <w:color w:val="auto"/>
                <w:highlight w:val="black"/>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0"/>
              <w:spacing w:after="0"/>
              <w:rPr>
                <w:sz w:val="20"/>
                <w:szCs w:val="20"/>
                <w:color w:val="auto"/>
              </w:rPr>
            </w:pPr>
            <w:r>
              <w:rPr>
                <w:rFonts w:ascii="Arial" w:cs="Arial" w:eastAsia="Arial" w:hAnsi="Arial"/>
                <w:sz w:val="14"/>
                <w:szCs w:val="14"/>
                <w:color w:val="auto"/>
                <w:highlight w:val="black"/>
              </w:rPr>
              <w:t>2024</w:t>
            </w:r>
          </w:p>
        </w:tc>
      </w:tr>
      <w:tr>
        <w:trPr>
          <w:trHeight w:val="24"/>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3"/>
        </w:trPr>
        <w:tc>
          <w:tcPr>
            <w:tcW w:w="844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highlight w:val="black"/>
              </w:rPr>
              <w:t>Assets</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highlight w:val="black"/>
              </w:rPr>
              <w:t>Current assets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135,810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118,552</w:t>
            </w:r>
          </w:p>
        </w:tc>
      </w:tr>
      <w:tr>
        <w:trPr>
          <w:trHeight w:val="178"/>
        </w:trPr>
        <w:tc>
          <w:tcPr>
            <w:tcW w:w="8440" w:type="dxa"/>
            <w:vAlign w:val="bottom"/>
          </w:tcPr>
          <w:p>
            <w:pPr>
              <w:ind w:left="240"/>
              <w:spacing w:after="0"/>
              <w:rPr>
                <w:sz w:val="20"/>
                <w:szCs w:val="20"/>
                <w:color w:val="auto"/>
              </w:rPr>
            </w:pPr>
            <w:r>
              <w:rPr>
                <w:rFonts w:ascii="Arial" w:cs="Arial" w:eastAsia="Arial" w:hAnsi="Arial"/>
                <w:sz w:val="14"/>
                <w:szCs w:val="14"/>
                <w:color w:val="auto"/>
              </w:rPr>
              <w:t>Short-term investments and marketable securities</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51,415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41,308</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 net of allowance of $3,362 and $3,396, respectively</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255,063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195,069</w:t>
            </w:r>
          </w:p>
        </w:tc>
      </w:tr>
      <w:tr>
        <w:trPr>
          <w:trHeight w:val="178"/>
        </w:trPr>
        <w:tc>
          <w:tcPr>
            <w:tcW w:w="8440" w:type="dxa"/>
            <w:vAlign w:val="bottom"/>
          </w:tcPr>
          <w:p>
            <w:pPr>
              <w:ind w:left="240"/>
              <w:spacing w:after="0"/>
              <w:rPr>
                <w:sz w:val="20"/>
                <w:szCs w:val="20"/>
                <w:color w:val="auto"/>
              </w:rPr>
            </w:pPr>
            <w:r>
              <w:rPr>
                <w:rFonts w:ascii="Arial" w:cs="Arial" w:eastAsia="Arial" w:hAnsi="Arial"/>
                <w:sz w:val="14"/>
                <w:szCs w:val="14"/>
                <w:color w:val="auto"/>
              </w:rPr>
              <w:t>Deferred commissions, current</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35,166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36,630</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41,970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43,984</w:t>
            </w:r>
          </w:p>
        </w:tc>
      </w:tr>
      <w:tr>
        <w:trPr>
          <w:trHeight w:val="172"/>
        </w:trPr>
        <w:tc>
          <w:tcPr>
            <w:tcW w:w="8440" w:type="dxa"/>
            <w:vAlign w:val="bottom"/>
          </w:tcPr>
          <w:p>
            <w:pPr>
              <w:ind w:left="360"/>
              <w:spacing w:after="0" w:line="158" w:lineRule="exact"/>
              <w:rPr>
                <w:sz w:val="20"/>
                <w:szCs w:val="20"/>
                <w:color w:val="auto"/>
              </w:rPr>
            </w:pPr>
            <w:r>
              <w:rPr>
                <w:rFonts w:ascii="Arial" w:cs="Arial" w:eastAsia="Arial" w:hAnsi="Arial"/>
                <w:sz w:val="14"/>
                <w:szCs w:val="14"/>
                <w:color w:val="auto"/>
                <w:highlight w:val="black"/>
              </w:rPr>
              <w:t>Total current assets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519,424</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435,543</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 of accumulated depreciation of $40,747 and $32,142, respectively</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32,087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37,109</w:t>
            </w: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28,811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25,555</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 of $7,301 and $5,341, respectively</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1,246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2,240</w:t>
            </w: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Right-of-use assets for operating leases</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28,075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31,081</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commissions, net of current portion</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65,199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60,540</w:t>
            </w: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4,850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4,129</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11,703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24,842</w:t>
            </w:r>
          </w:p>
        </w:tc>
      </w:tr>
      <w:tr>
        <w:trPr>
          <w:trHeight w:val="172"/>
        </w:trPr>
        <w:tc>
          <w:tcPr>
            <w:tcW w:w="8440" w:type="dxa"/>
            <w:vAlign w:val="bottom"/>
          </w:tcPr>
          <w:p>
            <w:pPr>
              <w:ind w:left="20"/>
              <w:spacing w:after="0" w:line="158" w:lineRule="exact"/>
              <w:rPr>
                <w:sz w:val="20"/>
                <w:szCs w:val="20"/>
                <w:color w:val="auto"/>
              </w:rPr>
            </w:pPr>
            <w:r>
              <w:rPr>
                <w:rFonts w:ascii="Arial" w:cs="Arial" w:eastAsia="Arial" w:hAnsi="Arial"/>
                <w:sz w:val="14"/>
                <w:szCs w:val="14"/>
                <w:color w:val="auto"/>
                <w:highlight w:val="black"/>
              </w:rPr>
              <w:t>Total assets</w:t>
            </w:r>
          </w:p>
        </w:tc>
        <w:tc>
          <w:tcPr>
            <w:tcW w:w="300" w:type="dxa"/>
            <w:vAlign w:val="bottom"/>
            <w:tcBorders>
              <w:top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691,395</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621,039</w:t>
            </w:r>
          </w:p>
        </w:tc>
      </w:tr>
      <w:tr>
        <w:trPr>
          <w:trHeight w:val="24"/>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9"/>
        </w:trPr>
        <w:tc>
          <w:tcPr>
            <w:tcW w:w="8440" w:type="dxa"/>
            <w:vAlign w:val="bottom"/>
            <w:tcBorders>
              <w:bottom w:val="single" w:sz="8" w:color="CCEEFF"/>
            </w:tcBorders>
            <w:shd w:val="clear" w:color="auto" w:fill="CCEEFF"/>
          </w:tcPr>
          <w:p>
            <w:pPr>
              <w:ind w:left="20"/>
              <w:spacing w:after="0" w:line="145" w:lineRule="exact"/>
              <w:rPr>
                <w:sz w:val="20"/>
                <w:szCs w:val="20"/>
                <w:color w:val="auto"/>
              </w:rPr>
            </w:pPr>
            <w:r>
              <w:rPr>
                <w:rFonts w:ascii="Arial" w:cs="Arial" w:eastAsia="Arial" w:hAnsi="Arial"/>
                <w:sz w:val="14"/>
                <w:szCs w:val="14"/>
                <w:color w:val="auto"/>
              </w:rPr>
              <w:t>Liabilities and Stockholders’ Equity</w:t>
            </w:r>
          </w:p>
        </w:tc>
        <w:tc>
          <w:tcPr>
            <w:tcW w:w="3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highlight w:val="black"/>
              </w:rPr>
              <w:t>Current liabilities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6,655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4,322</w:t>
            </w:r>
          </w:p>
        </w:tc>
      </w:tr>
      <w:tr>
        <w:trPr>
          <w:trHeight w:val="178"/>
        </w:trPr>
        <w:tc>
          <w:tcPr>
            <w:tcW w:w="8440" w:type="dxa"/>
            <w:vAlign w:val="bottom"/>
          </w:tcPr>
          <w:p>
            <w:pPr>
              <w:ind w:left="24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18,483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11,388</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Accrued compensation and related benefits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61,781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34,223</w:t>
            </w:r>
          </w:p>
        </w:tc>
      </w:tr>
      <w:tr>
        <w:trPr>
          <w:trHeight w:val="178"/>
        </w:trPr>
        <w:tc>
          <w:tcPr>
            <w:tcW w:w="844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341,281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281,760</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Debt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9,598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9,598</w:t>
            </w:r>
          </w:p>
        </w:tc>
      </w:tr>
      <w:tr>
        <w:trPr>
          <w:trHeight w:val="178"/>
        </w:trPr>
        <w:tc>
          <w:tcPr>
            <w:tcW w:w="8440" w:type="dxa"/>
            <w:vAlign w:val="bottom"/>
          </w:tcPr>
          <w:p>
            <w:pPr>
              <w:ind w:left="240"/>
              <w:spacing w:after="0"/>
              <w:rPr>
                <w:sz w:val="20"/>
                <w:szCs w:val="20"/>
                <w:color w:val="auto"/>
              </w:rPr>
            </w:pPr>
            <w:r>
              <w:rPr>
                <w:rFonts w:ascii="Arial" w:cs="Arial" w:eastAsia="Arial" w:hAnsi="Arial"/>
                <w:sz w:val="14"/>
                <w:szCs w:val="14"/>
                <w:color w:val="auto"/>
              </w:rPr>
              <w:t>Operating lease liabilities</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13,181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12,378</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1,128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1,087</w:t>
            </w:r>
          </w:p>
        </w:tc>
      </w:tr>
      <w:tr>
        <w:trPr>
          <w:trHeight w:val="172"/>
        </w:trPr>
        <w:tc>
          <w:tcPr>
            <w:tcW w:w="8440" w:type="dxa"/>
            <w:vAlign w:val="bottom"/>
          </w:tcPr>
          <w:p>
            <w:pPr>
              <w:ind w:left="360"/>
              <w:spacing w:after="0" w:line="158" w:lineRule="exact"/>
              <w:rPr>
                <w:sz w:val="20"/>
                <w:szCs w:val="20"/>
                <w:color w:val="auto"/>
              </w:rPr>
            </w:pPr>
            <w:r>
              <w:rPr>
                <w:rFonts w:ascii="Arial" w:cs="Arial" w:eastAsia="Arial" w:hAnsi="Arial"/>
                <w:sz w:val="14"/>
                <w:szCs w:val="14"/>
                <w:color w:val="auto"/>
                <w:highlight w:val="black"/>
              </w:rPr>
              <w:t>Total current liabilities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452,107</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354,756</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231,228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240,826</w:t>
            </w: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Non-current operating lease liabilities</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45,693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52,189</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non-current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8,962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5,477</w:t>
            </w: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431</w:t>
            </w:r>
          </w:p>
        </w:tc>
      </w:tr>
      <w:tr>
        <w:trPr>
          <w:trHeight w:val="24"/>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844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highlight w:val="black"/>
              </w:rPr>
              <w:t>Total liabilities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738,388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653,679</w:t>
            </w: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highlight w:val="black"/>
              </w:rPr>
              <w:t>Stockholders’ deficit</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stock—par value $0.0001; 500,000,000 shares authorized as of December 31, 2025 and 2024 and 43,408,828 and</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59"/>
        </w:trPr>
        <w:tc>
          <w:tcPr>
            <w:tcW w:w="84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42,938,701 shares issued as of December 31, 2025 and 2024, respectively</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
              <w:spacing w:after="0" w:line="141"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
              <w:spacing w:after="0" w:line="141" w:lineRule="exact"/>
              <w:rPr>
                <w:sz w:val="20"/>
                <w:szCs w:val="20"/>
                <w:color w:val="auto"/>
              </w:rPr>
            </w:pPr>
            <w:r>
              <w:rPr>
                <w:rFonts w:ascii="Arial" w:cs="Arial" w:eastAsia="Arial" w:hAnsi="Arial"/>
                <w:sz w:val="14"/>
                <w:szCs w:val="14"/>
                <w:color w:val="auto"/>
              </w:rPr>
              <w:t>4</w:t>
            </w: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Class B common stock—par value $0.0001; 100,000,000 shares authorized as December 31, 2025 and 2024 and 31,088,085 and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50"/>
        </w:trPr>
        <w:tc>
          <w:tcPr>
            <w:tcW w:w="8440" w:type="dxa"/>
            <w:vAlign w:val="bottom"/>
          </w:tcPr>
          <w:p>
            <w:pPr>
              <w:ind w:left="20"/>
              <w:spacing w:after="0" w:line="141" w:lineRule="exact"/>
              <w:rPr>
                <w:sz w:val="20"/>
                <w:szCs w:val="20"/>
                <w:color w:val="auto"/>
              </w:rPr>
            </w:pPr>
            <w:r>
              <w:rPr>
                <w:rFonts w:ascii="Arial" w:cs="Arial" w:eastAsia="Arial" w:hAnsi="Arial"/>
                <w:sz w:val="14"/>
                <w:szCs w:val="14"/>
                <w:color w:val="auto"/>
              </w:rPr>
              <w:t>31,090,085 shares issued as of December 31, 2025 and 2024, respectively</w:t>
            </w:r>
          </w:p>
        </w:tc>
        <w:tc>
          <w:tcPr>
            <w:tcW w:w="300" w:type="dxa"/>
            <w:vAlign w:val="bottom"/>
          </w:tcPr>
          <w:p>
            <w:pPr>
              <w:spacing w:after="0"/>
              <w:rPr>
                <w:sz w:val="13"/>
                <w:szCs w:val="13"/>
                <w:color w:val="auto"/>
              </w:rPr>
            </w:pPr>
          </w:p>
        </w:tc>
        <w:tc>
          <w:tcPr>
            <w:tcW w:w="1060" w:type="dxa"/>
            <w:vAlign w:val="bottom"/>
          </w:tcPr>
          <w:p>
            <w:pPr>
              <w:jc w:val="right"/>
              <w:ind w:right="10"/>
              <w:spacing w:after="0" w:line="141"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10"/>
              <w:spacing w:after="0" w:line="141" w:lineRule="exact"/>
              <w:rPr>
                <w:sz w:val="20"/>
                <w:szCs w:val="20"/>
                <w:color w:val="auto"/>
              </w:rPr>
            </w:pPr>
            <w:r>
              <w:rPr>
                <w:rFonts w:ascii="Arial" w:cs="Arial" w:eastAsia="Arial" w:hAnsi="Arial"/>
                <w:sz w:val="14"/>
                <w:szCs w:val="14"/>
                <w:color w:val="auto"/>
              </w:rPr>
              <w:t>3</w:t>
            </w:r>
          </w:p>
        </w:tc>
      </w:tr>
      <w:tr>
        <w:trPr>
          <w:trHeight w:val="19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stock at cost, 542,288 shares as of December 31, 2025</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(16,935)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617,318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591,281</w:t>
            </w:r>
          </w:p>
        </w:tc>
      </w:tr>
      <w:tr>
        <w:trPr>
          <w:trHeight w:val="24"/>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(36,462)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(11,774)</w:t>
            </w:r>
          </w:p>
        </w:tc>
      </w:tr>
      <w:tr>
        <w:trPr>
          <w:trHeight w:val="178"/>
        </w:trPr>
        <w:tc>
          <w:tcPr>
            <w:tcW w:w="84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(610,921)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(612,154)</w:t>
            </w:r>
          </w:p>
        </w:tc>
      </w:tr>
      <w:tr>
        <w:trPr>
          <w:trHeight w:val="24"/>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844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Total stockholders’ deficit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(46,993)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(32,640)</w:t>
            </w:r>
          </w:p>
        </w:tc>
      </w:tr>
      <w:tr>
        <w:trPr>
          <w:trHeight w:val="172"/>
        </w:trPr>
        <w:tc>
          <w:tcPr>
            <w:tcW w:w="8440" w:type="dxa"/>
            <w:vAlign w:val="bottom"/>
          </w:tcPr>
          <w:p>
            <w:pPr>
              <w:ind w:left="20"/>
              <w:spacing w:after="0" w:line="158" w:lineRule="exact"/>
              <w:rPr>
                <w:sz w:val="20"/>
                <w:szCs w:val="20"/>
                <w:color w:val="auto"/>
              </w:rPr>
            </w:pPr>
            <w:r>
              <w:rPr>
                <w:rFonts w:ascii="Arial" w:cs="Arial" w:eastAsia="Arial" w:hAnsi="Arial"/>
                <w:sz w:val="14"/>
                <w:szCs w:val="14"/>
                <w:color w:val="auto"/>
              </w:rPr>
              <w:t>Total liabilities and stockholders’ deficit</w:t>
            </w:r>
          </w:p>
        </w:tc>
        <w:tc>
          <w:tcPr>
            <w:tcW w:w="300" w:type="dxa"/>
            <w:vAlign w:val="bottom"/>
            <w:tcBorders>
              <w:top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691,395</w:t>
            </w: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621,039</w:t>
            </w:r>
          </w:p>
        </w:tc>
      </w:tr>
      <w:tr>
        <w:trPr>
          <w:trHeight w:val="24"/>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79"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 share data)</w:t>
      </w:r>
    </w:p>
    <w:p>
      <w:pPr>
        <w:spacing w:after="0" w:line="291"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Note: The Company has reclassified certain information technology, cybersecurity and facility operating expenses from general and administrative expenses to cost of revenue, research and development, and sales and marketing expense. Prior year amounts have been reclassified to conform to the current period presentation.</w:t>
      </w: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420" w:type="dxa"/>
            <w:vAlign w:val="bottom"/>
          </w:tcPr>
          <w:p>
            <w:pPr>
              <w:spacing w:after="0"/>
              <w:rPr>
                <w:sz w:val="16"/>
                <w:szCs w:val="16"/>
                <w:color w:val="auto"/>
              </w:rPr>
            </w:pPr>
          </w:p>
        </w:tc>
        <w:tc>
          <w:tcPr>
            <w:tcW w:w="3720" w:type="dxa"/>
            <w:vAlign w:val="bottom"/>
            <w:gridSpan w:val="6"/>
          </w:tcPr>
          <w:p>
            <w:pPr>
              <w:ind w:left="540"/>
              <w:spacing w:after="0"/>
              <w:rPr>
                <w:sz w:val="20"/>
                <w:szCs w:val="20"/>
                <w:color w:val="auto"/>
              </w:rPr>
            </w:pPr>
            <w:r>
              <w:rPr>
                <w:rFonts w:ascii="Arial" w:cs="Arial" w:eastAsia="Arial" w:hAnsi="Arial"/>
                <w:sz w:val="16"/>
                <w:szCs w:val="16"/>
                <w:color w:val="auto"/>
              </w:rPr>
              <w:t>Three Months Ended December 31,</w:t>
            </w:r>
          </w:p>
        </w:tc>
        <w:tc>
          <w:tcPr>
            <w:tcW w:w="320" w:type="dxa"/>
            <w:vAlign w:val="bottom"/>
          </w:tcPr>
          <w:p>
            <w:pPr>
              <w:spacing w:after="0"/>
              <w:rPr>
                <w:sz w:val="16"/>
                <w:szCs w:val="16"/>
                <w:color w:val="auto"/>
              </w:rPr>
            </w:pPr>
          </w:p>
        </w:tc>
        <w:tc>
          <w:tcPr>
            <w:tcW w:w="2640" w:type="dxa"/>
            <w:vAlign w:val="bottom"/>
            <w:gridSpan w:val="4"/>
          </w:tcPr>
          <w:p>
            <w:pPr>
              <w:jc w:val="right"/>
              <w:ind w:right="461"/>
              <w:spacing w:after="0"/>
              <w:rPr>
                <w:sz w:val="20"/>
                <w:szCs w:val="20"/>
                <w:color w:val="auto"/>
              </w:rPr>
            </w:pPr>
            <w:r>
              <w:rPr>
                <w:rFonts w:ascii="Arial" w:cs="Arial" w:eastAsia="Arial" w:hAnsi="Arial"/>
                <w:sz w:val="16"/>
                <w:szCs w:val="16"/>
                <w:color w:val="auto"/>
              </w:rPr>
              <w:t>Year Ended December 31,</w:t>
            </w:r>
          </w:p>
        </w:tc>
      </w:tr>
      <w:tr>
        <w:trPr>
          <w:trHeight w:val="210"/>
        </w:trPr>
        <w:tc>
          <w:tcPr>
            <w:tcW w:w="44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2025</w:t>
            </w:r>
          </w:p>
        </w:tc>
        <w:tc>
          <w:tcPr>
            <w:tcW w:w="7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color w:val="auto"/>
                <w:highlight w:val="black"/>
              </w:rPr>
              <w:t>2024</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color w:val="auto"/>
                <w:highlight w:val="black"/>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color w:val="auto"/>
                <w:highlight w:val="black"/>
              </w:rPr>
              <w:t>2024</w:t>
            </w:r>
          </w:p>
        </w:tc>
      </w:tr>
      <w:tr>
        <w:trPr>
          <w:trHeight w:val="209"/>
        </w:trPr>
        <w:tc>
          <w:tcPr>
            <w:tcW w:w="4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3"/>
          </w:tcPr>
          <w:p>
            <w:pPr>
              <w:jc w:val="right"/>
              <w:ind w:right="101"/>
              <w:spacing w:after="0"/>
              <w:rPr>
                <w:sz w:val="20"/>
                <w:szCs w:val="20"/>
                <w:color w:val="auto"/>
              </w:rPr>
            </w:pPr>
            <w:r>
              <w:rPr>
                <w:rFonts w:ascii="Arial" w:cs="Arial" w:eastAsia="Arial" w:hAnsi="Arial"/>
                <w:sz w:val="16"/>
                <w:szCs w:val="16"/>
                <w:color w:val="auto"/>
              </w:rPr>
              <w:t>(unaudited)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highlight w:val="black"/>
              </w:rPr>
              <w:t>Revenue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2"/>
        </w:trPr>
        <w:tc>
          <w:tcPr>
            <w:tcW w:w="4420" w:type="dxa"/>
            <w:vAlign w:val="bottom"/>
          </w:tcPr>
          <w:p>
            <w:pPr>
              <w:ind w:left="220"/>
              <w:spacing w:after="0"/>
              <w:rPr>
                <w:sz w:val="20"/>
                <w:szCs w:val="20"/>
                <w:color w:val="auto"/>
              </w:rPr>
            </w:pPr>
            <w:r>
              <w:rPr>
                <w:rFonts w:ascii="Arial" w:cs="Arial" w:eastAsia="Arial" w:hAnsi="Arial"/>
                <w:sz w:val="16"/>
                <w:szCs w:val="16"/>
                <w:color w:val="auto"/>
              </w:rPr>
              <w:t>Subscriptions</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162,265</w:t>
            </w:r>
          </w:p>
        </w:tc>
        <w:tc>
          <w:tcPr>
            <w:tcW w:w="80" w:type="dxa"/>
            <w:vAlign w:val="bottom"/>
          </w:tcPr>
          <w:p>
            <w:pPr>
              <w:spacing w:after="0"/>
              <w:rPr>
                <w:sz w:val="18"/>
                <w:szCs w:val="18"/>
                <w:color w:val="auto"/>
              </w:rPr>
            </w:pPr>
          </w:p>
        </w:tc>
        <w:tc>
          <w:tcPr>
            <w:tcW w:w="540" w:type="dxa"/>
            <w:vAlign w:val="bottom"/>
          </w:tcPr>
          <w:p>
            <w:pPr>
              <w:jc w:val="right"/>
              <w:ind w:right="36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136,779</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576,462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490,568</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Professional services</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40,602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29,906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150,475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126,454</w:t>
            </w:r>
          </w:p>
        </w:tc>
      </w:tr>
      <w:tr>
        <w:trPr>
          <w:trHeight w:val="209"/>
        </w:trPr>
        <w:tc>
          <w:tcPr>
            <w:tcW w:w="4420" w:type="dxa"/>
            <w:vAlign w:val="bottom"/>
          </w:tcPr>
          <w:p>
            <w:pPr>
              <w:spacing w:after="0"/>
              <w:rPr>
                <w:sz w:val="20"/>
                <w:szCs w:val="20"/>
                <w:color w:val="auto"/>
              </w:rPr>
            </w:pPr>
            <w:r>
              <w:rPr>
                <w:rFonts w:ascii="Arial" w:cs="Arial" w:eastAsia="Arial" w:hAnsi="Arial"/>
                <w:sz w:val="16"/>
                <w:szCs w:val="16"/>
                <w:color w:val="auto"/>
                <w:highlight w:val="black"/>
              </w:rPr>
              <w:t>Total revenue</w:t>
            </w:r>
          </w:p>
        </w:tc>
        <w:tc>
          <w:tcPr>
            <w:tcW w:w="10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202,867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166,685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726,937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617,022</w:t>
            </w:r>
          </w:p>
        </w:tc>
      </w:tr>
      <w:tr>
        <w:trPr>
          <w:trHeight w:val="220"/>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highlight w:val="black"/>
              </w:rPr>
              <w:t>Cost of revenue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2"/>
        </w:trPr>
        <w:tc>
          <w:tcPr>
            <w:tcW w:w="4420" w:type="dxa"/>
            <w:vAlign w:val="bottom"/>
          </w:tcPr>
          <w:p>
            <w:pPr>
              <w:ind w:left="220"/>
              <w:spacing w:after="0"/>
              <w:rPr>
                <w:sz w:val="20"/>
                <w:szCs w:val="20"/>
                <w:color w:val="auto"/>
              </w:rPr>
            </w:pPr>
            <w:r>
              <w:rPr>
                <w:rFonts w:ascii="Arial" w:cs="Arial" w:eastAsia="Arial" w:hAnsi="Arial"/>
                <w:sz w:val="16"/>
                <w:szCs w:val="16"/>
                <w:color w:val="auto"/>
              </w:rPr>
              <w:t>Subscriptions</w:t>
            </w:r>
          </w:p>
        </w:tc>
        <w:tc>
          <w:tcPr>
            <w:tcW w:w="10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23,093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16,774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83,988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65,680</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Professional services</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32,808</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23,209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115,611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102,560</w:t>
            </w:r>
          </w:p>
        </w:tc>
      </w:tr>
      <w:tr>
        <w:trPr>
          <w:trHeight w:val="209"/>
        </w:trPr>
        <w:tc>
          <w:tcPr>
            <w:tcW w:w="4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highlight w:val="black"/>
              </w:rPr>
              <w:t>Total cost of revenue</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55,901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39,983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199,599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168,240</w:t>
            </w:r>
          </w:p>
        </w:tc>
      </w:tr>
      <w:tr>
        <w:trPr>
          <w:trHeight w:val="21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highlight w:val="black"/>
              </w:rPr>
              <w:t>Gross profit</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146,966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126,702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527,338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448,782</w:t>
            </w:r>
          </w:p>
        </w:tc>
      </w:tr>
      <w:tr>
        <w:trPr>
          <w:trHeight w:val="212"/>
        </w:trPr>
        <w:tc>
          <w:tcPr>
            <w:tcW w:w="4420" w:type="dxa"/>
            <w:vAlign w:val="bottom"/>
          </w:tcPr>
          <w:p>
            <w:pPr>
              <w:spacing w:after="0"/>
              <w:rPr>
                <w:sz w:val="20"/>
                <w:szCs w:val="20"/>
                <w:color w:val="auto"/>
              </w:rPr>
            </w:pPr>
            <w:r>
              <w:rPr>
                <w:rFonts w:ascii="Arial" w:cs="Arial" w:eastAsia="Arial" w:hAnsi="Arial"/>
                <w:sz w:val="16"/>
                <w:szCs w:val="16"/>
                <w:color w:val="auto"/>
                <w:highlight w:val="black"/>
              </w:rPr>
              <w:t>Operating expenses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69,145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57,073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241,186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238,454</w:t>
            </w:r>
          </w:p>
        </w:tc>
      </w:tr>
      <w:tr>
        <w:trPr>
          <w:trHeight w:val="212"/>
        </w:trPr>
        <w:tc>
          <w:tcPr>
            <w:tcW w:w="442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0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45,142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39,193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172,188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163,400</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33,366</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25,403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113,355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107,781</w:t>
            </w:r>
          </w:p>
        </w:tc>
      </w:tr>
      <w:tr>
        <w:trPr>
          <w:trHeight w:val="210"/>
        </w:trPr>
        <w:tc>
          <w:tcPr>
            <w:tcW w:w="4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147,653</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121,669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526,729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509,635</w:t>
            </w:r>
          </w:p>
        </w:tc>
      </w:tr>
      <w:tr>
        <w:trPr>
          <w:trHeight w:val="21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Operating (loss) income</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(60,853)</w:t>
            </w:r>
          </w:p>
        </w:tc>
      </w:tr>
      <w:tr>
        <w:trPr>
          <w:trHeight w:val="212"/>
        </w:trPr>
        <w:tc>
          <w:tcPr>
            <w:tcW w:w="4420" w:type="dxa"/>
            <w:vAlign w:val="bottom"/>
          </w:tcPr>
          <w:p>
            <w:pPr>
              <w:spacing w:after="0"/>
              <w:rPr>
                <w:sz w:val="20"/>
                <w:szCs w:val="20"/>
                <w:color w:val="auto"/>
              </w:rPr>
            </w:pPr>
            <w:r>
              <w:rPr>
                <w:rFonts w:ascii="Arial" w:cs="Arial" w:eastAsia="Arial" w:hAnsi="Arial"/>
                <w:sz w:val="16"/>
                <w:szCs w:val="16"/>
                <w:color w:val="auto"/>
              </w:rPr>
              <w:t>Other non-operating expense (income)</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6,773</w:t>
            </w:r>
          </w:p>
        </w:tc>
      </w:tr>
      <w:tr>
        <w:trPr>
          <w:trHeight w:val="212"/>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 expense</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4,902</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5,661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23,582</w:t>
            </w: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Total other non-operating expense (income)</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2,895</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18,316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30,355</w:t>
            </w:r>
          </w:p>
        </w:tc>
      </w:tr>
      <w:tr>
        <w:trPr>
          <w:trHeight w:val="210"/>
        </w:trPr>
        <w:tc>
          <w:tcPr>
            <w:tcW w:w="4420" w:type="dxa"/>
            <w:vAlign w:val="bottom"/>
          </w:tcPr>
          <w:p>
            <w:pPr>
              <w:spacing w:after="0"/>
              <w:rPr>
                <w:sz w:val="20"/>
                <w:szCs w:val="20"/>
                <w:color w:val="auto"/>
              </w:rPr>
            </w:pPr>
            <w:r>
              <w:rPr>
                <w:rFonts w:ascii="Arial" w:cs="Arial" w:eastAsia="Arial" w:hAnsi="Arial"/>
                <w:sz w:val="16"/>
                <w:szCs w:val="16"/>
                <w:color w:val="auto"/>
              </w:rPr>
              <w:t>(Loss) income before income taxes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(3,582)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6,444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(91,208)</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1,521</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1,054</w:t>
            </w:r>
          </w:p>
        </w:tc>
      </w:tr>
      <w:tr>
        <w:trPr>
          <w:trHeight w:val="247"/>
        </w:trPr>
        <w:tc>
          <w:tcPr>
            <w:tcW w:w="4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highlight w:val="black"/>
              </w:rPr>
              <w:t>Net (loss) income</w:t>
            </w: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(13,647)</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(92,262)</w:t>
            </w:r>
          </w:p>
        </w:tc>
      </w:tr>
      <w:tr>
        <w:trPr>
          <w:trHeight w:val="189"/>
        </w:trPr>
        <w:tc>
          <w:tcPr>
            <w:tcW w:w="44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(Loss) earnings per Class A and Class B share:</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2"/>
        </w:trPr>
        <w:tc>
          <w:tcPr>
            <w:tcW w:w="4420" w:type="dxa"/>
            <w:vAlign w:val="bottom"/>
          </w:tcPr>
          <w:p>
            <w:pPr>
              <w:ind w:left="220"/>
              <w:spacing w:after="0"/>
              <w:rPr>
                <w:sz w:val="20"/>
                <w:szCs w:val="20"/>
                <w:color w:val="auto"/>
              </w:rPr>
            </w:pPr>
            <w:r>
              <w:rPr>
                <w:rFonts w:ascii="Arial" w:cs="Arial" w:eastAsia="Arial" w:hAnsi="Arial"/>
                <w:sz w:val="16"/>
                <w:szCs w:val="16"/>
                <w:color w:val="auto"/>
              </w:rPr>
              <w:t>Basic</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(0.07)</w:t>
            </w:r>
          </w:p>
        </w:tc>
        <w:tc>
          <w:tcPr>
            <w:tcW w:w="80" w:type="dxa"/>
            <w:vAlign w:val="bottom"/>
          </w:tcPr>
          <w:p>
            <w:pPr>
              <w:spacing w:after="0"/>
              <w:rPr>
                <w:sz w:val="18"/>
                <w:szCs w:val="18"/>
                <w:color w:val="auto"/>
              </w:rPr>
            </w:pPr>
          </w:p>
        </w:tc>
        <w:tc>
          <w:tcPr>
            <w:tcW w:w="540" w:type="dxa"/>
            <w:vAlign w:val="bottom"/>
          </w:tcPr>
          <w:p>
            <w:pPr>
              <w:jc w:val="right"/>
              <w:ind w:right="36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(0.18)</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20"/>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2"/>
        </w:trPr>
        <w:tc>
          <w:tcPr>
            <w:tcW w:w="442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73,895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73,953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72,988</w:t>
            </w:r>
          </w:p>
        </w:tc>
      </w:tr>
      <w:tr>
        <w:trPr>
          <w:trHeight w:val="209"/>
        </w:trPr>
        <w:tc>
          <w:tcPr>
            <w:tcW w:w="4420" w:type="dxa"/>
            <w:vAlign w:val="bottom"/>
          </w:tcPr>
          <w:p>
            <w:pPr>
              <w:ind w:left="220"/>
              <w:spacing w:after="0"/>
              <w:rPr>
                <w:sz w:val="20"/>
                <w:szCs w:val="20"/>
                <w:color w:val="auto"/>
              </w:rPr>
            </w:pPr>
            <w:r>
              <w:rPr>
                <w:rFonts w:ascii="Arial" w:cs="Arial" w:eastAsia="Arial" w:hAnsi="Arial"/>
                <w:sz w:val="16"/>
                <w:szCs w:val="16"/>
                <w:color w:val="auto"/>
              </w:rPr>
              <w:t>Diluted</w:t>
            </w:r>
          </w:p>
        </w:tc>
        <w:tc>
          <w:tcPr>
            <w:tcW w:w="10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73,895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73,953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74,649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72,988</w:t>
            </w:r>
          </w:p>
        </w:tc>
      </w:tr>
    </w:tbl>
    <w:p>
      <w:pPr>
        <w:sectPr>
          <w:pgSz w:w="11900" w:h="16838" w:orient="portrait"/>
          <w:cols w:equalWidth="0" w:num="1">
            <w:col w:w="11220"/>
          </w:cols>
          <w:pgMar w:left="320" w:top="1279"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highlight w:val="black"/>
        </w:rPr>
        <w:t>APPIAN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STOCK-BASED COMPENSATION EXPENSE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Three Months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6"/>
                <w:szCs w:val="16"/>
                <w:color w:val="auto"/>
              </w:rPr>
              <w:t>Year Ended December 31,</w:t>
            </w:r>
          </w:p>
        </w:tc>
      </w:tr>
      <w:tr>
        <w:trPr>
          <w:trHeight w:val="210"/>
        </w:trPr>
        <w:tc>
          <w:tcPr>
            <w:tcW w:w="38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highlight w:val="black"/>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highlight w:val="black"/>
              </w:rPr>
              <w:t>2024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highlight w:val="black"/>
              </w:rPr>
              <w:t>2025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highlight w:val="black"/>
              </w:rPr>
              <w:t>2024</w:t>
            </w:r>
          </w:p>
        </w:tc>
      </w:tr>
      <w:tr>
        <w:trPr>
          <w:trHeight w:val="210"/>
        </w:trPr>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gridSpan w:val="3"/>
          </w:tcPr>
          <w:p>
            <w:pPr>
              <w:jc w:val="right"/>
              <w:ind w:right="801"/>
              <w:spacing w:after="0"/>
              <w:rPr>
                <w:sz w:val="20"/>
                <w:szCs w:val="20"/>
                <w:color w:val="auto"/>
              </w:rPr>
            </w:pPr>
            <w:r>
              <w:rPr>
                <w:rFonts w:ascii="Arial" w:cs="Arial" w:eastAsia="Arial" w:hAnsi="Arial"/>
                <w:sz w:val="16"/>
                <w:szCs w:val="16"/>
                <w:color w:val="auto"/>
              </w:rPr>
              <w:t>(unaudited)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2"/>
        </w:trPr>
        <w:tc>
          <w:tcPr>
            <w:tcW w:w="386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1120" w:type="dxa"/>
            <w:vAlign w:val="bottom"/>
          </w:tcPr>
          <w:p>
            <w:pPr>
              <w:jc w:val="right"/>
              <w:ind w:right="94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1240" w:type="dxa"/>
            <w:vAlign w:val="bottom"/>
          </w:tcPr>
          <w:p>
            <w:pPr>
              <w:jc w:val="right"/>
              <w:ind w:right="106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1,638</w:t>
            </w:r>
          </w:p>
        </w:tc>
      </w:tr>
      <w:tr>
        <w:trPr>
          <w:trHeight w:val="220"/>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5,925</w:t>
            </w:r>
          </w:p>
        </w:tc>
      </w:tr>
      <w:tr>
        <w:trPr>
          <w:trHeight w:val="212"/>
        </w:trPr>
        <w:tc>
          <w:tcPr>
            <w:tcW w:w="3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8,526</w:t>
            </w:r>
          </w:p>
        </w:tc>
      </w:tr>
      <w:tr>
        <w:trPr>
          <w:trHeight w:val="212"/>
        </w:trPr>
        <w:tc>
          <w:tcPr>
            <w:tcW w:w="386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12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2,937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12,407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12,077</w:t>
            </w:r>
          </w:p>
        </w:tc>
      </w:tr>
      <w:tr>
        <w:trPr>
          <w:trHeight w:val="220"/>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3,326</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13,102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10,879</w:t>
            </w:r>
          </w:p>
        </w:tc>
      </w:tr>
      <w:tr>
        <w:trPr>
          <w:trHeight w:val="206"/>
        </w:trPr>
        <w:tc>
          <w:tcPr>
            <w:tcW w:w="3860" w:type="dxa"/>
            <w:vAlign w:val="bottom"/>
          </w:tcPr>
          <w:p>
            <w:pPr>
              <w:ind w:left="20"/>
              <w:spacing w:after="0"/>
              <w:rPr>
                <w:sz w:val="20"/>
                <w:szCs w:val="20"/>
                <w:color w:val="auto"/>
              </w:rPr>
            </w:pPr>
            <w:r>
              <w:rPr>
                <w:rFonts w:ascii="Arial" w:cs="Arial" w:eastAsia="Arial" w:hAnsi="Arial"/>
                <w:sz w:val="16"/>
                <w:szCs w:val="16"/>
                <w:color w:val="auto"/>
              </w:rPr>
              <w:t>Total stock-based compensation expense</w:t>
            </w: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10,548</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9,034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41,540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39,045</w:t>
            </w: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ectPr>
          <w:pgSz w:w="11900" w:h="16838" w:orient="portrait"/>
          <w:cols w:equalWidth="0" w:num="1">
            <w:col w:w="11200"/>
          </w:cols>
          <w:pgMar w:left="340" w:top="1279"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color w:val="auto"/>
          <w:highlight w:val="black"/>
        </w:rPr>
        <w:t>APPIAN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color w:val="auto"/>
              </w:rPr>
              <w:t>Year Ended December 31,</w:t>
            </w:r>
          </w:p>
        </w:tc>
      </w:tr>
      <w:tr>
        <w:trPr>
          <w:trHeight w:val="183"/>
        </w:trPr>
        <w:tc>
          <w:tcPr>
            <w:tcW w:w="84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highlight w:val="black"/>
              </w:rPr>
              <w:t>2025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highlight w:val="black"/>
              </w:rPr>
              <w:t>2024</w:t>
            </w:r>
          </w:p>
        </w:tc>
      </w:tr>
      <w:tr>
        <w:trPr>
          <w:trHeight w:val="175"/>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3"/>
        </w:trPr>
        <w:tc>
          <w:tcPr>
            <w:tcW w:w="8400" w:type="dxa"/>
            <w:vAlign w:val="bottom"/>
          </w:tcPr>
          <w:p>
            <w:pPr>
              <w:ind w:left="24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15"/>
                <w:szCs w:val="15"/>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(92,262)</w:t>
            </w:r>
          </w:p>
        </w:tc>
      </w:tr>
      <w:tr>
        <w:trPr>
          <w:trHeight w:val="195"/>
        </w:trPr>
        <w:tc>
          <w:tcPr>
            <w:tcW w:w="8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3"/>
        </w:trPr>
        <w:tc>
          <w:tcPr>
            <w:tcW w:w="84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41,540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39,045</w:t>
            </w:r>
          </w:p>
        </w:tc>
      </w:tr>
      <w:tr>
        <w:trPr>
          <w:trHeight w:val="195"/>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expense and amortization of intangible assets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10,030</w:t>
            </w:r>
          </w:p>
        </w:tc>
      </w:tr>
      <w:tr>
        <w:trPr>
          <w:trHeight w:val="183"/>
        </w:trPr>
        <w:tc>
          <w:tcPr>
            <w:tcW w:w="8400" w:type="dxa"/>
            <w:vAlign w:val="bottom"/>
          </w:tcPr>
          <w:p>
            <w:pPr>
              <w:ind w:left="360"/>
              <w:spacing w:after="0"/>
              <w:rPr>
                <w:sz w:val="20"/>
                <w:szCs w:val="20"/>
                <w:color w:val="auto"/>
              </w:rPr>
            </w:pPr>
            <w:r>
              <w:rPr>
                <w:rFonts w:ascii="Arial" w:cs="Arial" w:eastAsia="Arial" w:hAnsi="Arial"/>
                <w:sz w:val="14"/>
                <w:szCs w:val="14"/>
                <w:color w:val="auto"/>
              </w:rPr>
              <w:t>Lease impairment charges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5,462</w:t>
            </w:r>
          </w:p>
        </w:tc>
      </w:tr>
      <w:tr>
        <w:trPr>
          <w:trHeight w:val="195"/>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Bad debt expense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1,760</w:t>
            </w:r>
          </w:p>
        </w:tc>
      </w:tr>
      <w:tr>
        <w:trPr>
          <w:trHeight w:val="183"/>
        </w:trPr>
        <w:tc>
          <w:tcPr>
            <w:tcW w:w="8400" w:type="dxa"/>
            <w:vAlign w:val="bottom"/>
          </w:tcPr>
          <w:p>
            <w:pPr>
              <w:ind w:left="36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195"/>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Benefit for deferred income taxes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r>
      <w:tr>
        <w:trPr>
          <w:trHeight w:val="183"/>
        </w:trPr>
        <w:tc>
          <w:tcPr>
            <w:tcW w:w="8400" w:type="dxa"/>
            <w:vAlign w:val="bottom"/>
          </w:tcPr>
          <w:p>
            <w:pPr>
              <w:ind w:left="360"/>
              <w:spacing w:after="0"/>
              <w:rPr>
                <w:sz w:val="20"/>
                <w:szCs w:val="20"/>
                <w:color w:val="auto"/>
              </w:rPr>
            </w:pPr>
            <w:r>
              <w:rPr>
                <w:rFonts w:ascii="Arial" w:cs="Arial" w:eastAsia="Arial" w:hAnsi="Arial"/>
                <w:sz w:val="14"/>
                <w:szCs w:val="14"/>
                <w:color w:val="auto"/>
              </w:rPr>
              <w:t>Foreign currency transaction (gains) losses,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(21,732)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16,745</w:t>
            </w:r>
          </w:p>
        </w:tc>
      </w:tr>
      <w:tr>
        <w:trPr>
          <w:trHeight w:val="195"/>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3"/>
        </w:trPr>
        <w:tc>
          <w:tcPr>
            <w:tcW w:w="8400" w:type="dxa"/>
            <w:vAlign w:val="bottom"/>
          </w:tcPr>
          <w:p>
            <w:pPr>
              <w:ind w:left="46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(51,673)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(28,353)</w:t>
            </w:r>
          </w:p>
        </w:tc>
      </w:tr>
      <w:tr>
        <w:trPr>
          <w:trHeight w:val="195"/>
        </w:trPr>
        <w:tc>
          <w:tcPr>
            <w:tcW w:w="8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16,551</w:t>
            </w:r>
          </w:p>
        </w:tc>
      </w:tr>
      <w:tr>
        <w:trPr>
          <w:trHeight w:val="183"/>
        </w:trPr>
        <w:tc>
          <w:tcPr>
            <w:tcW w:w="8400" w:type="dxa"/>
            <w:vAlign w:val="bottom"/>
          </w:tcPr>
          <w:p>
            <w:pPr>
              <w:ind w:left="460"/>
              <w:spacing w:after="0"/>
              <w:rPr>
                <w:sz w:val="20"/>
                <w:szCs w:val="20"/>
                <w:color w:val="auto"/>
              </w:rPr>
            </w:pPr>
            <w:r>
              <w:rPr>
                <w:rFonts w:ascii="Arial" w:cs="Arial" w:eastAsia="Arial" w:hAnsi="Arial"/>
                <w:sz w:val="14"/>
                <w:szCs w:val="14"/>
                <w:color w:val="auto"/>
              </w:rPr>
              <w:t>Deferred commissions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(3,195)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(3,144)</w:t>
            </w:r>
          </w:p>
        </w:tc>
      </w:tr>
      <w:tr>
        <w:trPr>
          <w:trHeight w:val="195"/>
        </w:trPr>
        <w:tc>
          <w:tcPr>
            <w:tcW w:w="8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r>
      <w:tr>
        <w:trPr>
          <w:trHeight w:val="183"/>
        </w:trPr>
        <w:tc>
          <w:tcPr>
            <w:tcW w:w="8400" w:type="dxa"/>
            <w:vAlign w:val="bottom"/>
          </w:tcPr>
          <w:p>
            <w:pPr>
              <w:ind w:left="460"/>
              <w:spacing w:after="0"/>
              <w:rPr>
                <w:sz w:val="20"/>
                <w:szCs w:val="20"/>
                <w:color w:val="auto"/>
              </w:rPr>
            </w:pPr>
            <w:r>
              <w:rPr>
                <w:rFonts w:ascii="Arial" w:cs="Arial" w:eastAsia="Arial" w:hAnsi="Arial"/>
                <w:sz w:val="14"/>
                <w:szCs w:val="14"/>
                <w:color w:val="auto"/>
              </w:rPr>
              <w:t>Accrued compensation and related benefits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19,993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(2,947)</w:t>
            </w:r>
          </w:p>
        </w:tc>
      </w:tr>
      <w:tr>
        <w:trPr>
          <w:trHeight w:val="195"/>
        </w:trPr>
        <w:tc>
          <w:tcPr>
            <w:tcW w:w="8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current and non-current liabilities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w:t>
            </w:r>
          </w:p>
        </w:tc>
      </w:tr>
      <w:tr>
        <w:trPr>
          <w:trHeight w:val="183"/>
        </w:trPr>
        <w:tc>
          <w:tcPr>
            <w:tcW w:w="8400" w:type="dxa"/>
            <w:vAlign w:val="bottom"/>
          </w:tcPr>
          <w:p>
            <w:pPr>
              <w:ind w:left="46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47,200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49,309</w:t>
            </w:r>
          </w:p>
        </w:tc>
      </w:tr>
      <w:tr>
        <w:trPr>
          <w:trHeight w:val="189"/>
        </w:trPr>
        <w:tc>
          <w:tcPr>
            <w:tcW w:w="8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lease assets and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(2,659)</w:t>
            </w:r>
          </w:p>
        </w:tc>
      </w:tr>
      <w:tr>
        <w:trPr>
          <w:trHeight w:val="183"/>
        </w:trPr>
        <w:tc>
          <w:tcPr>
            <w:tcW w:w="8400" w:type="dxa"/>
            <w:vAlign w:val="bottom"/>
          </w:tcPr>
          <w:p>
            <w:pPr>
              <w:ind w:left="2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62,874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6,878</w:t>
            </w:r>
          </w:p>
        </w:tc>
      </w:tr>
      <w:tr>
        <w:trPr>
          <w:trHeight w:val="195"/>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3"/>
        </w:trPr>
        <w:tc>
          <w:tcPr>
            <w:tcW w:w="8400" w:type="dxa"/>
            <w:vAlign w:val="bottom"/>
          </w:tcPr>
          <w:p>
            <w:pPr>
              <w:ind w:left="240"/>
              <w:spacing w:after="0"/>
              <w:rPr>
                <w:sz w:val="20"/>
                <w:szCs w:val="20"/>
                <w:color w:val="auto"/>
              </w:rPr>
            </w:pPr>
            <w:r>
              <w:rPr>
                <w:rFonts w:ascii="Arial" w:cs="Arial" w:eastAsia="Arial" w:hAnsi="Arial"/>
                <w:sz w:val="14"/>
                <w:szCs w:val="14"/>
                <w:color w:val="auto"/>
              </w:rPr>
              <w:t>Proceeds from maturities of investments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52,540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20,038</w:t>
            </w:r>
          </w:p>
        </w:tc>
      </w:tr>
      <w:tr>
        <w:trPr>
          <w:trHeight w:val="195"/>
        </w:trPr>
        <w:tc>
          <w:tcPr>
            <w:tcW w:w="8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investments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(62,048)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(51,630)</w:t>
            </w:r>
          </w:p>
        </w:tc>
      </w:tr>
      <w:tr>
        <w:trPr>
          <w:trHeight w:val="183"/>
        </w:trPr>
        <w:tc>
          <w:tcPr>
            <w:tcW w:w="8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(3,798)</w:t>
            </w:r>
          </w:p>
        </w:tc>
      </w:tr>
      <w:tr>
        <w:trPr>
          <w:trHeight w:val="188"/>
        </w:trPr>
        <w:tc>
          <w:tcPr>
            <w:tcW w:w="8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cash used by investing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(35,390)</w:t>
            </w: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borrowings</w:t>
            </w: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50,000</w:t>
            </w:r>
          </w:p>
        </w:tc>
      </w:tr>
      <w:tr>
        <w:trPr>
          <w:trHeight w:val="183"/>
        </w:trPr>
        <w:tc>
          <w:tcPr>
            <w:tcW w:w="8400" w:type="dxa"/>
            <w:vAlign w:val="bottom"/>
          </w:tcPr>
          <w:p>
            <w:pPr>
              <w:ind w:left="240"/>
              <w:spacing w:after="0"/>
              <w:rPr>
                <w:sz w:val="20"/>
                <w:szCs w:val="20"/>
                <w:color w:val="auto"/>
              </w:rPr>
            </w:pPr>
            <w:r>
              <w:rPr>
                <w:rFonts w:ascii="Arial" w:cs="Arial" w:eastAsia="Arial" w:hAnsi="Arial"/>
                <w:sz w:val="14"/>
                <w:szCs w:val="14"/>
                <w:color w:val="auto"/>
              </w:rPr>
              <w:t>Payments for debt issuance costs</w:t>
            </w:r>
          </w:p>
        </w:tc>
        <w:tc>
          <w:tcPr>
            <w:tcW w:w="3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(463)</w:t>
            </w:r>
          </w:p>
        </w:tc>
      </w:tr>
      <w:tr>
        <w:trPr>
          <w:trHeight w:val="195"/>
        </w:trPr>
        <w:tc>
          <w:tcPr>
            <w:tcW w:w="8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Debt repayments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w:t>
            </w:r>
          </w:p>
        </w:tc>
      </w:tr>
      <w:tr>
        <w:trPr>
          <w:trHeight w:val="183"/>
        </w:trPr>
        <w:tc>
          <w:tcPr>
            <w:tcW w:w="840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(50,019)</w:t>
            </w:r>
          </w:p>
        </w:tc>
      </w:tr>
      <w:tr>
        <w:trPr>
          <w:trHeight w:val="195"/>
        </w:trPr>
        <w:tc>
          <w:tcPr>
            <w:tcW w:w="8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for employee taxes related to the net share settlement of equity awards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(7,987)</w:t>
            </w:r>
          </w:p>
        </w:tc>
      </w:tr>
      <w:tr>
        <w:trPr>
          <w:trHeight w:val="183"/>
        </w:trPr>
        <w:tc>
          <w:tcPr>
            <w:tcW w:w="8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Proceeds from exercise of common stock options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14,461</w:t>
            </w:r>
          </w:p>
        </w:tc>
      </w:tr>
      <w:tr>
        <w:trPr>
          <w:trHeight w:val="188"/>
        </w:trPr>
        <w:tc>
          <w:tcPr>
            <w:tcW w:w="8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cash used by financing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(36,278)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18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w:t>
            </w:r>
          </w:p>
        </w:tc>
      </w:tr>
      <w:tr>
        <w:trPr>
          <w:trHeight w:val="188"/>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(30,799)</w:t>
            </w:r>
          </w:p>
        </w:tc>
      </w:tr>
      <w:tr>
        <w:trPr>
          <w:trHeight w:val="18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118,552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149,351</w:t>
            </w:r>
          </w:p>
        </w:tc>
      </w:tr>
      <w:tr>
        <w:trPr>
          <w:trHeight w:val="19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135,810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118,552</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8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3"/>
        </w:trPr>
        <w:tc>
          <w:tcPr>
            <w:tcW w:w="840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19,644</w:t>
            </w:r>
          </w:p>
        </w:tc>
        <w:tc>
          <w:tcPr>
            <w:tcW w:w="120" w:type="dxa"/>
            <w:vAlign w:val="bottom"/>
          </w:tcPr>
          <w:p>
            <w:pPr>
              <w:spacing w:after="0"/>
              <w:rPr>
                <w:sz w:val="15"/>
                <w:szCs w:val="15"/>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22,574</w:t>
            </w:r>
          </w:p>
        </w:tc>
      </w:tr>
      <w:tr>
        <w:trPr>
          <w:trHeight w:val="195"/>
        </w:trPr>
        <w:tc>
          <w:tcPr>
            <w:tcW w:w="8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income taxes</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3,334</w:t>
            </w: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Supplemental non-cash investing and financing information: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capital expenditures</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bl>
    <w:p>
      <w:pPr>
        <w:sectPr>
          <w:pgSz w:w="11900" w:h="16838" w:orient="portrait"/>
          <w:cols w:equalWidth="0" w:num="1">
            <w:col w:w="11240"/>
          </w:cols>
          <w:pgMar w:left="320" w:top="12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color w:val="auto"/>
          <w:highlight w:val="black"/>
        </w:rPr>
        <w:t>APPIAN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RECONCILIATION OF GAAP MEASURES TO NON-GAAP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2"/>
                <w:szCs w:val="12"/>
                <w:color w:val="auto"/>
                <w:highlight w:val="black"/>
                <w:w w:val="99"/>
              </w:rPr>
              <w:t>Stock-Based</w:t>
            </w:r>
          </w:p>
        </w:tc>
        <w:tc>
          <w:tcPr>
            <w:tcW w:w="16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2"/>
                <w:szCs w:val="12"/>
                <w:color w:val="auto"/>
                <w:highlight w:val="black"/>
              </w:rPr>
              <w:t>Litigation</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color w:val="auto"/>
                <w:highlight w:val="black"/>
              </w:rPr>
              <w:t>Lease Impairment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color w:val="auto"/>
                <w:highlight w:val="black"/>
              </w:rPr>
              <w:t>Unrealized Foreign</w:t>
            </w:r>
          </w:p>
        </w:tc>
        <w:tc>
          <w:tcPr>
            <w:tcW w:w="140" w:type="dxa"/>
            <w:vAlign w:val="bottom"/>
          </w:tcPr>
          <w:p>
            <w:pPr>
              <w:spacing w:after="0"/>
              <w:rPr>
                <w:sz w:val="12"/>
                <w:szCs w:val="12"/>
                <w:color w:val="auto"/>
              </w:rPr>
            </w:pPr>
          </w:p>
        </w:tc>
        <w:tc>
          <w:tcPr>
            <w:tcW w:w="820" w:type="dxa"/>
            <w:vAlign w:val="bottom"/>
            <w:vMerge w:val="restart"/>
          </w:tcPr>
          <w:p>
            <w:pPr>
              <w:jc w:val="right"/>
              <w:ind w:right="139"/>
              <w:spacing w:after="0"/>
              <w:rPr>
                <w:sz w:val="20"/>
                <w:szCs w:val="20"/>
                <w:color w:val="auto"/>
              </w:rPr>
            </w:pPr>
            <w:r>
              <w:rPr>
                <w:rFonts w:ascii="Arial" w:cs="Arial" w:eastAsia="Arial" w:hAnsi="Arial"/>
                <w:sz w:val="12"/>
                <w:szCs w:val="12"/>
                <w:color w:val="auto"/>
                <w:highlight w:val="black"/>
              </w:rPr>
              <w:t>Non-GAAP</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highlight w:val="black"/>
              </w:rPr>
              <w:t>and Lease-Related</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2"/>
                <w:szCs w:val="12"/>
                <w:color w:val="auto"/>
              </w:rPr>
              <w:t>Exchange Rate Gains</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spacing w:after="0" w:line="123" w:lineRule="exact"/>
              <w:rPr>
                <w:sz w:val="20"/>
                <w:szCs w:val="20"/>
                <w:color w:val="auto"/>
              </w:rPr>
            </w:pPr>
            <w:r>
              <w:rPr>
                <w:rFonts w:ascii="Arial" w:cs="Arial" w:eastAsia="Arial" w:hAnsi="Arial"/>
                <w:sz w:val="12"/>
                <w:szCs w:val="12"/>
                <w:color w:val="auto"/>
                <w:highlight w:val="black"/>
              </w:rPr>
              <w:t>GAAP Measure</w:t>
            </w: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23" w:lineRule="exact"/>
              <w:rPr>
                <w:sz w:val="20"/>
                <w:szCs w:val="20"/>
                <w:color w:val="auto"/>
              </w:rPr>
            </w:pPr>
            <w:r>
              <w:rPr>
                <w:rFonts w:ascii="Arial" w:cs="Arial" w:eastAsia="Arial" w:hAnsi="Arial"/>
                <w:sz w:val="12"/>
                <w:szCs w:val="12"/>
                <w:color w:val="auto"/>
                <w:highlight w:val="black"/>
              </w:rPr>
              <w:t>Compensation</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23" w:lineRule="exact"/>
              <w:rPr>
                <w:sz w:val="20"/>
                <w:szCs w:val="20"/>
                <w:color w:val="auto"/>
              </w:rPr>
            </w:pPr>
            <w:r>
              <w:rPr>
                <w:rFonts w:ascii="Arial" w:cs="Arial" w:eastAsia="Arial" w:hAnsi="Arial"/>
                <w:sz w:val="12"/>
                <w:szCs w:val="12"/>
                <w:color w:val="auto"/>
                <w:highlight w:val="black"/>
                <w:w w:val="98"/>
              </w:rPr>
              <w:t>Expense</w:t>
            </w:r>
          </w:p>
        </w:tc>
        <w:tc>
          <w:tcPr>
            <w:tcW w:w="120" w:type="dxa"/>
            <w:vAlign w:val="bottom"/>
          </w:tcPr>
          <w:p>
            <w:pPr>
              <w:spacing w:after="0"/>
              <w:rPr>
                <w:sz w:val="11"/>
                <w:szCs w:val="11"/>
                <w:color w:val="auto"/>
              </w:rPr>
            </w:pPr>
          </w:p>
        </w:tc>
        <w:tc>
          <w:tcPr>
            <w:tcW w:w="1220" w:type="dxa"/>
            <w:vAlign w:val="bottom"/>
            <w:gridSpan w:val="2"/>
          </w:tcPr>
          <w:p>
            <w:pPr>
              <w:ind w:left="40"/>
              <w:spacing w:after="0" w:line="123" w:lineRule="exact"/>
              <w:rPr>
                <w:sz w:val="20"/>
                <w:szCs w:val="20"/>
                <w:color w:val="auto"/>
              </w:rPr>
            </w:pPr>
            <w:r>
              <w:rPr>
                <w:rFonts w:ascii="Arial" w:cs="Arial" w:eastAsia="Arial" w:hAnsi="Arial"/>
                <w:sz w:val="12"/>
                <w:szCs w:val="12"/>
                <w:color w:val="auto"/>
                <w:highlight w:val="black"/>
              </w:rPr>
              <w:t>JPI Amortization</w:t>
            </w:r>
          </w:p>
        </w:tc>
        <w:tc>
          <w:tcPr>
            <w:tcW w:w="80" w:type="dxa"/>
            <w:vAlign w:val="bottom"/>
          </w:tcPr>
          <w:p>
            <w:pPr>
              <w:spacing w:after="0"/>
              <w:rPr>
                <w:sz w:val="11"/>
                <w:szCs w:val="11"/>
                <w:color w:val="auto"/>
              </w:rPr>
            </w:pPr>
          </w:p>
        </w:tc>
        <w:tc>
          <w:tcPr>
            <w:tcW w:w="1220" w:type="dxa"/>
            <w:vAlign w:val="bottom"/>
            <w:gridSpan w:val="2"/>
          </w:tcPr>
          <w:p>
            <w:pPr>
              <w:jc w:val="center"/>
              <w:ind w:right="180"/>
              <w:spacing w:after="0" w:line="123" w:lineRule="exact"/>
              <w:rPr>
                <w:sz w:val="20"/>
                <w:szCs w:val="20"/>
                <w:color w:val="auto"/>
              </w:rPr>
            </w:pPr>
            <w:r>
              <w:rPr>
                <w:rFonts w:ascii="Arial" w:cs="Arial" w:eastAsia="Arial" w:hAnsi="Arial"/>
                <w:sz w:val="12"/>
                <w:szCs w:val="12"/>
                <w:color w:val="auto"/>
                <w:highlight w:val="black"/>
                <w:w w:val="96"/>
              </w:rPr>
              <w:t>Charges</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23" w:lineRule="exact"/>
              <w:rPr>
                <w:sz w:val="20"/>
                <w:szCs w:val="20"/>
                <w:color w:val="auto"/>
              </w:rPr>
            </w:pPr>
            <w:r>
              <w:rPr>
                <w:rFonts w:ascii="Arial" w:cs="Arial" w:eastAsia="Arial" w:hAnsi="Arial"/>
                <w:sz w:val="12"/>
                <w:szCs w:val="12"/>
                <w:color w:val="auto"/>
                <w:highlight w:val="black"/>
              </w:rPr>
              <w:t>and Losses</w:t>
            </w:r>
          </w:p>
        </w:tc>
        <w:tc>
          <w:tcPr>
            <w:tcW w:w="140" w:type="dxa"/>
            <w:vAlign w:val="bottom"/>
          </w:tcPr>
          <w:p>
            <w:pPr>
              <w:spacing w:after="0"/>
              <w:rPr>
                <w:sz w:val="11"/>
                <w:szCs w:val="11"/>
                <w:color w:val="auto"/>
              </w:rPr>
            </w:pPr>
          </w:p>
        </w:tc>
        <w:tc>
          <w:tcPr>
            <w:tcW w:w="820" w:type="dxa"/>
            <w:vAlign w:val="bottom"/>
          </w:tcPr>
          <w:p>
            <w:pPr>
              <w:jc w:val="right"/>
              <w:ind w:right="179"/>
              <w:spacing w:after="0" w:line="123" w:lineRule="exact"/>
              <w:rPr>
                <w:sz w:val="20"/>
                <w:szCs w:val="20"/>
                <w:color w:val="auto"/>
              </w:rPr>
            </w:pPr>
            <w:r>
              <w:rPr>
                <w:rFonts w:ascii="Arial" w:cs="Arial" w:eastAsia="Arial" w:hAnsi="Arial"/>
                <w:sz w:val="12"/>
                <w:szCs w:val="12"/>
                <w:color w:val="auto"/>
                <w:highlight w:val="black"/>
              </w:rPr>
              <w:t>Measure</w:t>
            </w:r>
          </w:p>
        </w:tc>
        <w:tc>
          <w:tcPr>
            <w:tcW w:w="0" w:type="dxa"/>
            <w:vAlign w:val="bottom"/>
          </w:tcPr>
          <w:p>
            <w:pPr>
              <w:spacing w:after="0"/>
              <w:rPr>
                <w:sz w:val="1"/>
                <w:szCs w:val="1"/>
                <w:color w:val="auto"/>
              </w:rPr>
            </w:pPr>
          </w:p>
        </w:tc>
      </w:tr>
      <w:tr>
        <w:trPr>
          <w:trHeight w:val="162"/>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Three Months Ended December 31, 2025</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Subscriptions cost of revenue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23,093</w:t>
            </w:r>
          </w:p>
        </w:tc>
        <w:tc>
          <w:tcPr>
            <w:tcW w:w="80" w:type="dxa"/>
            <w:vAlign w:val="bottom"/>
          </w:tcPr>
          <w:p>
            <w:pPr>
              <w:spacing w:after="0"/>
              <w:rPr>
                <w:sz w:val="14"/>
                <w:szCs w:val="14"/>
                <w:color w:val="auto"/>
              </w:rPr>
            </w:pPr>
          </w:p>
        </w:tc>
        <w:tc>
          <w:tcPr>
            <w:tcW w:w="2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(475)</w:t>
            </w:r>
          </w:p>
        </w:tc>
        <w:tc>
          <w:tcPr>
            <w:tcW w:w="100" w:type="dxa"/>
            <w:vAlign w:val="bottom"/>
          </w:tcPr>
          <w:p>
            <w:pPr>
              <w:spacing w:after="0"/>
              <w:rPr>
                <w:sz w:val="14"/>
                <w:szCs w:val="14"/>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22,618</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Professional services cost of revenue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32,808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31,325</w:t>
            </w: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Total cost of revenue</w:t>
            </w: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55,901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(1,958)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53,943</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Sales and marketing expense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69,145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66,926</w:t>
            </w: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Research and development expense</w:t>
            </w: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45,142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42,097</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 administrative expense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33,366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22,486</w:t>
            </w: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Total operating expense</w:t>
            </w: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147,653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(8,590)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131,509</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(loss) income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17,415</w:t>
            </w: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Non-operating expense</w:t>
            </w: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2,895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3,955</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impact of above items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2,322</w:t>
            </w: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Net (loss) income</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(5,103)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10,365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11,138</w:t>
            </w:r>
          </w:p>
        </w:tc>
        <w:tc>
          <w:tcPr>
            <w:tcW w:w="0" w:type="dxa"/>
            <w:vAlign w:val="bottom"/>
          </w:tcPr>
          <w:p>
            <w:pPr>
              <w:spacing w:after="0"/>
              <w:rPr>
                <w:sz w:val="1"/>
                <w:szCs w:val="1"/>
                <w:color w:val="auto"/>
              </w:rPr>
            </w:pPr>
          </w:p>
        </w:tc>
      </w:tr>
      <w:tr>
        <w:trPr>
          <w:trHeight w:val="168"/>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income per share, basic and</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140"/>
              <w:spacing w:after="0" w:line="149" w:lineRule="exact"/>
              <w:rPr>
                <w:sz w:val="20"/>
                <w:szCs w:val="20"/>
                <w:color w:val="auto"/>
              </w:rPr>
            </w:pPr>
            <w:r>
              <w:rPr>
                <w:rFonts w:ascii="Arial" w:cs="Arial" w:eastAsia="Arial" w:hAnsi="Arial"/>
                <w:sz w:val="12"/>
                <w:szCs w:val="12"/>
                <w:color w:val="auto"/>
              </w:rPr>
              <w:t>diluted</w:t>
            </w:r>
            <w:r>
              <w:rPr>
                <w:rFonts w:ascii="Arial" w:cs="Arial" w:eastAsia="Arial" w:hAnsi="Arial"/>
                <w:sz w:val="15"/>
                <w:szCs w:val="15"/>
                <w:color w:val="auto"/>
                <w:vertAlign w:val="superscript"/>
              </w:rPr>
              <w:t>(a)</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Three Months Ended December 31, 2024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Subscriptions cost of revenue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16,774</w:t>
            </w:r>
          </w:p>
        </w:tc>
        <w:tc>
          <w:tcPr>
            <w:tcW w:w="80" w:type="dxa"/>
            <w:vAlign w:val="bottom"/>
          </w:tcPr>
          <w:p>
            <w:pPr>
              <w:spacing w:after="0"/>
              <w:rPr>
                <w:sz w:val="14"/>
                <w:szCs w:val="14"/>
                <w:color w:val="auto"/>
              </w:rPr>
            </w:pPr>
          </w:p>
        </w:tc>
        <w:tc>
          <w:tcPr>
            <w:tcW w:w="2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(395)</w:t>
            </w:r>
          </w:p>
        </w:tc>
        <w:tc>
          <w:tcPr>
            <w:tcW w:w="100" w:type="dxa"/>
            <w:vAlign w:val="bottom"/>
          </w:tcPr>
          <w:p>
            <w:pPr>
              <w:spacing w:after="0"/>
              <w:rPr>
                <w:sz w:val="14"/>
                <w:szCs w:val="14"/>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16,379</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Professional services cost of revenue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23,209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21,847</w:t>
            </w: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Total cost of revenue</w:t>
            </w: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39,983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38,226</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Sales and marketing expense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57,073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55,082</w:t>
            </w: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Research and development expense</w:t>
            </w: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39,193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(2,937)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36,256</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 administrative expense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25,403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18,424</w:t>
            </w: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Total operating expense</w:t>
            </w: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121,669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(7,277)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109,762</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income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5,033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18,697</w:t>
            </w:r>
          </w:p>
        </w:tc>
        <w:tc>
          <w:tcPr>
            <w:tcW w:w="0" w:type="dxa"/>
            <w:vAlign w:val="bottom"/>
          </w:tcPr>
          <w:p>
            <w:pPr>
              <w:spacing w:after="0"/>
              <w:rPr>
                <w:sz w:val="1"/>
                <w:szCs w:val="1"/>
                <w:color w:val="auto"/>
              </w:rPr>
            </w:pPr>
          </w:p>
        </w:tc>
      </w:tr>
      <w:tr>
        <w:trPr>
          <w:trHeight w:val="222"/>
        </w:trPr>
        <w:tc>
          <w:tcPr>
            <w:tcW w:w="2600" w:type="dxa"/>
            <w:vAlign w:val="bottom"/>
          </w:tcPr>
          <w:p>
            <w:pPr>
              <w:ind w:left="140"/>
              <w:spacing w:after="0"/>
              <w:rPr>
                <w:sz w:val="20"/>
                <w:szCs w:val="20"/>
                <w:color w:val="auto"/>
              </w:rPr>
            </w:pPr>
            <w:r>
              <w:rPr>
                <w:rFonts w:ascii="Arial" w:cs="Arial" w:eastAsia="Arial" w:hAnsi="Arial"/>
                <w:sz w:val="12"/>
                <w:szCs w:val="12"/>
                <w:color w:val="auto"/>
              </w:rPr>
              <w:t>Non-operating expense (income)</w:t>
            </w:r>
          </w:p>
        </w:tc>
        <w:tc>
          <w:tcPr>
            <w:tcW w:w="1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2"/>
                <w:szCs w:val="12"/>
                <w:color w:val="auto"/>
              </w:rPr>
              <w:t>18,316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4,476</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impact of above items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364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1,003</w:t>
            </w:r>
          </w:p>
        </w:tc>
        <w:tc>
          <w:tcPr>
            <w:tcW w:w="0" w:type="dxa"/>
            <w:vAlign w:val="bottom"/>
          </w:tcPr>
          <w:p>
            <w:pPr>
              <w:spacing w:after="0"/>
              <w:rPr>
                <w:sz w:val="1"/>
                <w:szCs w:val="1"/>
                <w:color w:val="auto"/>
              </w:rPr>
            </w:pPr>
          </w:p>
        </w:tc>
      </w:tr>
      <w:tr>
        <w:trPr>
          <w:trHeight w:val="168"/>
        </w:trPr>
        <w:tc>
          <w:tcPr>
            <w:tcW w:w="2600" w:type="dxa"/>
            <w:vAlign w:val="bottom"/>
          </w:tcPr>
          <w:p>
            <w:pPr>
              <w:ind w:left="140"/>
              <w:spacing w:after="0"/>
              <w:rPr>
                <w:sz w:val="20"/>
                <w:szCs w:val="20"/>
                <w:color w:val="auto"/>
              </w:rPr>
            </w:pPr>
            <w:r>
              <w:rPr>
                <w:rFonts w:ascii="Arial" w:cs="Arial" w:eastAsia="Arial" w:hAnsi="Arial"/>
                <w:sz w:val="12"/>
                <w:szCs w:val="12"/>
                <w:color w:val="auto"/>
              </w:rPr>
              <w:t>Net (loss) income</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(13,647)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8,793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13,442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13,218</w:t>
            </w:r>
          </w:p>
        </w:tc>
        <w:tc>
          <w:tcPr>
            <w:tcW w:w="0" w:type="dxa"/>
            <w:vAlign w:val="bottom"/>
          </w:tcPr>
          <w:p>
            <w:pPr>
              <w:spacing w:after="0"/>
              <w:rPr>
                <w:sz w:val="1"/>
                <w:szCs w:val="1"/>
                <w:color w:val="auto"/>
              </w:rPr>
            </w:pPr>
          </w:p>
        </w:tc>
      </w:tr>
      <w:tr>
        <w:trPr>
          <w:trHeight w:val="168"/>
        </w:trPr>
        <w:tc>
          <w:tcPr>
            <w:tcW w:w="2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income per share, basic and</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diluted</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(0.18)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(a)</w:t>
      </w:r>
      <w:r>
        <w:rPr>
          <w:rFonts w:ascii="Arial" w:cs="Arial" w:eastAsia="Arial" w:hAnsi="Arial"/>
          <w:sz w:val="12"/>
          <w:szCs w:val="12"/>
          <w:color w:val="auto"/>
        </w:rPr>
        <w:t xml:space="preserve"> Per share amounts do not foot due to rounding.</w:t>
      </w:r>
    </w:p>
    <w:p>
      <w:pPr>
        <w:sectPr>
          <w:pgSz w:w="11900" w:h="16838" w:orient="portrait"/>
          <w:cols w:equalWidth="0" w:num="1">
            <w:col w:w="11240"/>
          </w:cols>
          <w:pgMar w:left="320" w:top="127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color w:val="auto"/>
                <w:highlight w:val="black"/>
              </w:rPr>
              <w:t>Lease Impairment</w:t>
            </w:r>
          </w:p>
        </w:tc>
        <w:tc>
          <w:tcPr>
            <w:tcW w:w="1180" w:type="dxa"/>
            <w:vAlign w:val="bottom"/>
            <w:gridSpan w:val="3"/>
          </w:tcPr>
          <w:p>
            <w:pPr>
              <w:ind w:left="40"/>
              <w:spacing w:after="0"/>
              <w:rPr>
                <w:sz w:val="20"/>
                <w:szCs w:val="20"/>
                <w:color w:val="auto"/>
              </w:rPr>
            </w:pPr>
            <w:r>
              <w:rPr>
                <w:rFonts w:ascii="Arial" w:cs="Arial" w:eastAsia="Arial" w:hAnsi="Arial"/>
                <w:sz w:val="12"/>
                <w:szCs w:val="12"/>
                <w:color w:val="auto"/>
                <w:highlight w:val="black"/>
              </w:rPr>
              <w:t>Unrealized Foreign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22"/>
        </w:trPr>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260"/>
              <w:spacing w:after="0" w:line="122" w:lineRule="exact"/>
              <w:rPr>
                <w:sz w:val="20"/>
                <w:szCs w:val="20"/>
                <w:color w:val="auto"/>
              </w:rPr>
            </w:pPr>
            <w:r>
              <w:rPr>
                <w:rFonts w:ascii="Arial" w:cs="Arial" w:eastAsia="Arial" w:hAnsi="Arial"/>
                <w:sz w:val="12"/>
                <w:szCs w:val="12"/>
                <w:color w:val="auto"/>
                <w:highlight w:val="black"/>
                <w:w w:val="99"/>
              </w:rPr>
              <w:t>Stock-Based</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Arial" w:cs="Arial" w:eastAsia="Arial" w:hAnsi="Arial"/>
                <w:sz w:val="12"/>
                <w:szCs w:val="12"/>
                <w:color w:val="auto"/>
                <w:highlight w:val="black"/>
              </w:rPr>
              <w:t>Litigation</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2"/>
                <w:szCs w:val="12"/>
                <w:color w:val="auto"/>
                <w:highlight w:val="black"/>
                <w:w w:val="99"/>
              </w:rPr>
              <w:t>and Lease-</w:t>
            </w: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2"/>
                <w:szCs w:val="12"/>
                <w:color w:val="auto"/>
                <w:highlight w:val="black"/>
                <w:w w:val="99"/>
              </w:rPr>
              <w:t>Exchange Rate</w:t>
            </w:r>
          </w:p>
        </w:tc>
        <w:tc>
          <w:tcPr>
            <w:tcW w:w="140" w:type="dxa"/>
            <w:vAlign w:val="bottom"/>
          </w:tcPr>
          <w:p>
            <w:pPr>
              <w:spacing w:after="0"/>
              <w:rPr>
                <w:sz w:val="10"/>
                <w:szCs w:val="10"/>
                <w:color w:val="auto"/>
              </w:rPr>
            </w:pPr>
          </w:p>
        </w:tc>
        <w:tc>
          <w:tcPr>
            <w:tcW w:w="800" w:type="dxa"/>
            <w:vAlign w:val="bottom"/>
          </w:tcPr>
          <w:p>
            <w:pPr>
              <w:jc w:val="right"/>
              <w:ind w:right="119"/>
              <w:spacing w:after="0" w:line="122" w:lineRule="exact"/>
              <w:rPr>
                <w:sz w:val="20"/>
                <w:szCs w:val="20"/>
                <w:color w:val="auto"/>
              </w:rPr>
            </w:pPr>
            <w:r>
              <w:rPr>
                <w:rFonts w:ascii="Arial" w:cs="Arial" w:eastAsia="Arial" w:hAnsi="Arial"/>
                <w:sz w:val="12"/>
                <w:szCs w:val="12"/>
                <w:color w:val="auto"/>
                <w:highlight w:val="black"/>
              </w:rPr>
              <w:t>Non-GAAP</w:t>
            </w:r>
          </w:p>
        </w:tc>
      </w:tr>
      <w:tr>
        <w:trPr>
          <w:trHeight w:val="143"/>
        </w:trPr>
        <w:tc>
          <w:tcPr>
            <w:tcW w:w="3440" w:type="dxa"/>
            <w:vAlign w:val="bottom"/>
          </w:tcPr>
          <w:p>
            <w:pPr>
              <w:spacing w:after="0"/>
              <w:rPr>
                <w:sz w:val="12"/>
                <w:szCs w:val="12"/>
                <w:color w:val="auto"/>
              </w:rPr>
            </w:pPr>
          </w:p>
        </w:tc>
        <w:tc>
          <w:tcPr>
            <w:tcW w:w="1020" w:type="dxa"/>
            <w:vAlign w:val="bottom"/>
            <w:gridSpan w:val="3"/>
          </w:tcPr>
          <w:p>
            <w:pPr>
              <w:ind w:left="60"/>
              <w:spacing w:after="0" w:line="135" w:lineRule="exact"/>
              <w:rPr>
                <w:sz w:val="20"/>
                <w:szCs w:val="20"/>
                <w:color w:val="auto"/>
              </w:rPr>
            </w:pPr>
            <w:r>
              <w:rPr>
                <w:rFonts w:ascii="Arial" w:cs="Arial" w:eastAsia="Arial" w:hAnsi="Arial"/>
                <w:sz w:val="12"/>
                <w:szCs w:val="12"/>
                <w:color w:val="auto"/>
                <w:highlight w:val="black"/>
              </w:rPr>
              <w:t>GAAP Measure</w:t>
            </w:r>
          </w:p>
        </w:tc>
        <w:tc>
          <w:tcPr>
            <w:tcW w:w="160" w:type="dxa"/>
            <w:vAlign w:val="bottom"/>
          </w:tcPr>
          <w:p>
            <w:pPr>
              <w:spacing w:after="0"/>
              <w:rPr>
                <w:sz w:val="12"/>
                <w:szCs w:val="12"/>
                <w:color w:val="auto"/>
              </w:rPr>
            </w:pPr>
          </w:p>
        </w:tc>
        <w:tc>
          <w:tcPr>
            <w:tcW w:w="1180" w:type="dxa"/>
            <w:vAlign w:val="bottom"/>
            <w:gridSpan w:val="2"/>
          </w:tcPr>
          <w:p>
            <w:pPr>
              <w:jc w:val="center"/>
              <w:ind w:right="240"/>
              <w:spacing w:after="0" w:line="123" w:lineRule="exact"/>
              <w:rPr>
                <w:sz w:val="20"/>
                <w:szCs w:val="20"/>
                <w:color w:val="auto"/>
              </w:rPr>
            </w:pPr>
            <w:r>
              <w:rPr>
                <w:rFonts w:ascii="Arial" w:cs="Arial" w:eastAsia="Arial" w:hAnsi="Arial"/>
                <w:sz w:val="12"/>
                <w:szCs w:val="12"/>
                <w:color w:val="auto"/>
                <w:highlight w:val="black"/>
              </w:rPr>
              <w:t>Compensation</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23" w:lineRule="exact"/>
              <w:rPr>
                <w:sz w:val="20"/>
                <w:szCs w:val="20"/>
                <w:color w:val="auto"/>
              </w:rPr>
            </w:pPr>
            <w:r>
              <w:rPr>
                <w:rFonts w:ascii="Arial" w:cs="Arial" w:eastAsia="Arial" w:hAnsi="Arial"/>
                <w:sz w:val="12"/>
                <w:szCs w:val="12"/>
                <w:color w:val="auto"/>
                <w:highlight w:val="black"/>
                <w:w w:val="98"/>
              </w:rPr>
              <w:t>Expense</w:t>
            </w:r>
          </w:p>
        </w:tc>
        <w:tc>
          <w:tcPr>
            <w:tcW w:w="80" w:type="dxa"/>
            <w:vAlign w:val="bottom"/>
          </w:tcPr>
          <w:p>
            <w:pPr>
              <w:spacing w:after="0"/>
              <w:rPr>
                <w:sz w:val="12"/>
                <w:szCs w:val="12"/>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color w:val="auto"/>
                <w:highlight w:val="black"/>
              </w:rPr>
              <w:t>JPI Amortization</w:t>
            </w: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2"/>
                <w:szCs w:val="12"/>
                <w:color w:val="auto"/>
                <w:highlight w:val="black"/>
              </w:rPr>
              <w:t>Related Charges</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2"/>
                <w:szCs w:val="12"/>
                <w:color w:val="auto"/>
                <w:highlight w:val="black"/>
                <w:w w:val="99"/>
              </w:rPr>
              <w:t>Gains and Losses</w:t>
            </w:r>
          </w:p>
        </w:tc>
        <w:tc>
          <w:tcPr>
            <w:tcW w:w="140" w:type="dxa"/>
            <w:vAlign w:val="bottom"/>
          </w:tcPr>
          <w:p>
            <w:pPr>
              <w:spacing w:after="0"/>
              <w:rPr>
                <w:sz w:val="12"/>
                <w:szCs w:val="12"/>
                <w:color w:val="auto"/>
              </w:rPr>
            </w:pPr>
          </w:p>
        </w:tc>
        <w:tc>
          <w:tcPr>
            <w:tcW w:w="800" w:type="dxa"/>
            <w:vAlign w:val="bottom"/>
          </w:tcPr>
          <w:p>
            <w:pPr>
              <w:jc w:val="right"/>
              <w:ind w:right="179"/>
              <w:spacing w:after="0" w:line="123" w:lineRule="exact"/>
              <w:rPr>
                <w:sz w:val="20"/>
                <w:szCs w:val="20"/>
                <w:color w:val="auto"/>
              </w:rPr>
            </w:pPr>
            <w:r>
              <w:rPr>
                <w:rFonts w:ascii="Arial" w:cs="Arial" w:eastAsia="Arial" w:hAnsi="Arial"/>
                <w:sz w:val="12"/>
                <w:szCs w:val="12"/>
                <w:color w:val="auto"/>
                <w:highlight w:val="black"/>
              </w:rPr>
              <w:t>Measure</w:t>
            </w:r>
          </w:p>
        </w:tc>
      </w:tr>
      <w:tr>
        <w:trPr>
          <w:trHeight w:val="162"/>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Year Ended December 31, 2025</w:t>
            </w:r>
          </w:p>
        </w:tc>
        <w:tc>
          <w:tcPr>
            <w:tcW w:w="2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68"/>
        </w:trPr>
        <w:tc>
          <w:tcPr>
            <w:tcW w:w="3440" w:type="dxa"/>
            <w:vAlign w:val="bottom"/>
          </w:tcPr>
          <w:p>
            <w:pPr>
              <w:ind w:left="140"/>
              <w:spacing w:after="0"/>
              <w:rPr>
                <w:sz w:val="20"/>
                <w:szCs w:val="20"/>
                <w:color w:val="auto"/>
              </w:rPr>
            </w:pPr>
            <w:r>
              <w:rPr>
                <w:rFonts w:ascii="Arial" w:cs="Arial" w:eastAsia="Arial" w:hAnsi="Arial"/>
                <w:sz w:val="12"/>
                <w:szCs w:val="12"/>
                <w:color w:val="auto"/>
              </w:rPr>
              <w:t>Subscriptions cost of revenue</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83,988</w:t>
            </w:r>
          </w:p>
        </w:tc>
        <w:tc>
          <w:tcPr>
            <w:tcW w:w="100" w:type="dxa"/>
            <w:vAlign w:val="bottom"/>
          </w:tcPr>
          <w:p>
            <w:pPr>
              <w:spacing w:after="0"/>
              <w:rPr>
                <w:sz w:val="14"/>
                <w:szCs w:val="14"/>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(1,810)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82,178</w:t>
            </w:r>
          </w:p>
        </w:tc>
      </w:tr>
      <w:tr>
        <w:trPr>
          <w:trHeight w:val="183"/>
        </w:trPr>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Professional services cost of revenue</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115,611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109,824</w:t>
            </w:r>
          </w:p>
        </w:tc>
      </w:tr>
      <w:tr>
        <w:trPr>
          <w:trHeight w:val="168"/>
        </w:trPr>
        <w:tc>
          <w:tcPr>
            <w:tcW w:w="3440" w:type="dxa"/>
            <w:vAlign w:val="bottom"/>
          </w:tcPr>
          <w:p>
            <w:pPr>
              <w:ind w:left="140"/>
              <w:spacing w:after="0"/>
              <w:rPr>
                <w:sz w:val="20"/>
                <w:szCs w:val="20"/>
                <w:color w:val="auto"/>
              </w:rPr>
            </w:pPr>
            <w:r>
              <w:rPr>
                <w:rFonts w:ascii="Arial" w:cs="Arial" w:eastAsia="Arial" w:hAnsi="Arial"/>
                <w:sz w:val="12"/>
                <w:szCs w:val="12"/>
                <w:color w:val="auto"/>
              </w:rPr>
              <w:t>Total cost of revenue</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199,599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(7,597)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192,002</w:t>
            </w:r>
          </w:p>
        </w:tc>
      </w:tr>
      <w:tr>
        <w:trPr>
          <w:trHeight w:val="183"/>
        </w:trPr>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Sales and marketing expense</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241,186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232,752</w:t>
            </w:r>
          </w:p>
        </w:tc>
      </w:tr>
      <w:tr>
        <w:trPr>
          <w:trHeight w:val="168"/>
        </w:trPr>
        <w:tc>
          <w:tcPr>
            <w:tcW w:w="3440" w:type="dxa"/>
            <w:vAlign w:val="bottom"/>
          </w:tcPr>
          <w:p>
            <w:pPr>
              <w:ind w:left="140"/>
              <w:spacing w:after="0"/>
              <w:rPr>
                <w:sz w:val="20"/>
                <w:szCs w:val="20"/>
                <w:color w:val="auto"/>
              </w:rPr>
            </w:pPr>
            <w:r>
              <w:rPr>
                <w:rFonts w:ascii="Arial" w:cs="Arial" w:eastAsia="Arial" w:hAnsi="Arial"/>
                <w:sz w:val="12"/>
                <w:szCs w:val="12"/>
                <w:color w:val="auto"/>
              </w:rPr>
              <w:t>Research and development expense</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172,188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(12,407)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159,781</w:t>
            </w:r>
          </w:p>
        </w:tc>
      </w:tr>
      <w:tr>
        <w:trPr>
          <w:trHeight w:val="183"/>
        </w:trPr>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 administrative expense</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113,355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(10,407)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75,306</w:t>
            </w:r>
          </w:p>
        </w:tc>
      </w:tr>
      <w:tr>
        <w:trPr>
          <w:trHeight w:val="168"/>
        </w:trPr>
        <w:tc>
          <w:tcPr>
            <w:tcW w:w="3440" w:type="dxa"/>
            <w:vAlign w:val="bottom"/>
          </w:tcPr>
          <w:p>
            <w:pPr>
              <w:ind w:left="140"/>
              <w:spacing w:after="0"/>
              <w:rPr>
                <w:sz w:val="20"/>
                <w:szCs w:val="20"/>
                <w:color w:val="auto"/>
              </w:rPr>
            </w:pPr>
            <w:r>
              <w:rPr>
                <w:rFonts w:ascii="Arial" w:cs="Arial" w:eastAsia="Arial" w:hAnsi="Arial"/>
                <w:sz w:val="12"/>
                <w:szCs w:val="12"/>
                <w:color w:val="auto"/>
              </w:rPr>
              <w:t>Total operating expense</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526,729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(33,943)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(10,407)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(12,508)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467,839</w:t>
            </w:r>
          </w:p>
        </w:tc>
      </w:tr>
      <w:tr>
        <w:trPr>
          <w:trHeight w:val="183"/>
        </w:trPr>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income</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10,407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67,096</w:t>
            </w:r>
          </w:p>
        </w:tc>
      </w:tr>
      <w:tr>
        <w:trPr>
          <w:trHeight w:val="168"/>
        </w:trPr>
        <w:tc>
          <w:tcPr>
            <w:tcW w:w="3440" w:type="dxa"/>
            <w:vAlign w:val="bottom"/>
          </w:tcPr>
          <w:p>
            <w:pPr>
              <w:ind w:left="140"/>
              <w:spacing w:after="0"/>
              <w:rPr>
                <w:sz w:val="20"/>
                <w:szCs w:val="20"/>
                <w:color w:val="auto"/>
              </w:rPr>
            </w:pPr>
            <w:r>
              <w:rPr>
                <w:rFonts w:ascii="Arial" w:cs="Arial" w:eastAsia="Arial" w:hAnsi="Arial"/>
                <w:sz w:val="12"/>
                <w:szCs w:val="12"/>
                <w:color w:val="auto"/>
              </w:rPr>
              <w:t>Non-operating (income) expense</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(5,835)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Arial" w:cs="Arial" w:eastAsia="Arial" w:hAnsi="Arial"/>
                <w:sz w:val="12"/>
                <w:szCs w:val="12"/>
                <w:color w:val="auto"/>
              </w:rPr>
              <w:t>21,939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16,104</w:t>
            </w:r>
          </w:p>
        </w:tc>
      </w:tr>
      <w:tr>
        <w:trPr>
          <w:trHeight w:val="183"/>
        </w:trPr>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impact of above items</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5,405</w:t>
            </w:r>
          </w:p>
        </w:tc>
      </w:tr>
      <w:tr>
        <w:trPr>
          <w:trHeight w:val="168"/>
        </w:trPr>
        <w:tc>
          <w:tcPr>
            <w:tcW w:w="3440" w:type="dxa"/>
            <w:vAlign w:val="bottom"/>
          </w:tcPr>
          <w:p>
            <w:pPr>
              <w:ind w:left="140"/>
              <w:spacing w:after="0"/>
              <w:rPr>
                <w:sz w:val="20"/>
                <w:szCs w:val="20"/>
                <w:color w:val="auto"/>
              </w:rPr>
            </w:pPr>
            <w:r>
              <w:rPr>
                <w:rFonts w:ascii="Arial" w:cs="Arial" w:eastAsia="Arial" w:hAnsi="Arial"/>
                <w:sz w:val="12"/>
                <w:szCs w:val="12"/>
                <w:color w:val="auto"/>
              </w:rPr>
              <w:t>Net income (loss)</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40,232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10,407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12,508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(20,825)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45,587</w:t>
            </w:r>
          </w:p>
        </w:tc>
      </w:tr>
      <w:tr>
        <w:trPr>
          <w:trHeight w:val="183"/>
        </w:trPr>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 per share, basic</w:t>
            </w: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0.62</w:t>
            </w:r>
          </w:p>
        </w:tc>
      </w:tr>
      <w:tr>
        <w:trPr>
          <w:trHeight w:val="229"/>
        </w:trPr>
        <w:tc>
          <w:tcPr>
            <w:tcW w:w="3440" w:type="dxa"/>
            <w:vAlign w:val="bottom"/>
          </w:tcPr>
          <w:p>
            <w:pPr>
              <w:ind w:left="140"/>
              <w:spacing w:after="0"/>
              <w:rPr>
                <w:sz w:val="20"/>
                <w:szCs w:val="20"/>
                <w:color w:val="auto"/>
              </w:rPr>
            </w:pPr>
            <w:r>
              <w:rPr>
                <w:rFonts w:ascii="Arial" w:cs="Arial" w:eastAsia="Arial" w:hAnsi="Arial"/>
                <w:sz w:val="12"/>
                <w:szCs w:val="12"/>
                <w:color w:val="auto"/>
              </w:rPr>
              <w:t>Net income (loss) per share, diluted</w:t>
            </w:r>
            <w:r>
              <w:rPr>
                <w:rFonts w:ascii="Arial" w:cs="Arial" w:eastAsia="Arial" w:hAnsi="Arial"/>
                <w:sz w:val="15"/>
                <w:szCs w:val="15"/>
                <w:color w:val="auto"/>
                <w:vertAlign w:val="superscript"/>
              </w:rPr>
              <w:t>(a),(b)</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9"/>
                <w:szCs w:val="19"/>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0.14</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0.17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(0.28)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0.61</w:t>
            </w:r>
          </w:p>
        </w:tc>
      </w:tr>
    </w:tbl>
    <w:p>
      <w:pPr>
        <w:ind w:left="180" w:hanging="172"/>
        <w:spacing w:after="0" w:line="187" w:lineRule="auto"/>
        <w:tabs>
          <w:tab w:leader="none" w:pos="180" w:val="left"/>
        </w:tabs>
        <w:numPr>
          <w:ilvl w:val="0"/>
          <w:numId w:val="8"/>
        </w:numPr>
        <w:rPr>
          <w:rFonts w:ascii="Arial" w:cs="Arial" w:eastAsia="Arial" w:hAnsi="Arial"/>
          <w:sz w:val="18"/>
          <w:szCs w:val="18"/>
          <w:color w:val="515159"/>
          <w:vertAlign w:val="superscript"/>
        </w:rPr>
      </w:pPr>
      <w:r>
        <w:rPr>
          <w:rFonts w:ascii="Arial" w:cs="Arial" w:eastAsia="Arial" w:hAnsi="Arial"/>
          <w:sz w:val="11"/>
          <w:szCs w:val="11"/>
          <w:color w:val="auto"/>
        </w:rPr>
        <w:t>Accounts for the impact of 0.6 million shares of dilutive securities.</w:t>
      </w:r>
    </w:p>
    <w:p>
      <w:pPr>
        <w:ind w:left="160" w:hanging="152"/>
        <w:spacing w:after="0" w:line="203" w:lineRule="auto"/>
        <w:tabs>
          <w:tab w:leader="none" w:pos="160" w:val="left"/>
        </w:tabs>
        <w:numPr>
          <w:ilvl w:val="0"/>
          <w:numId w:val="8"/>
        </w:numPr>
        <w:rPr>
          <w:rFonts w:ascii="Arial" w:cs="Arial" w:eastAsia="Arial" w:hAnsi="Arial"/>
          <w:sz w:val="18"/>
          <w:szCs w:val="18"/>
          <w:color w:val="515159"/>
          <w:vertAlign w:val="superscript"/>
        </w:rPr>
      </w:pPr>
      <w:r>
        <w:rPr>
          <w:rFonts w:ascii="Arial" w:cs="Arial" w:eastAsia="Arial" w:hAnsi="Arial"/>
          <w:sz w:val="11"/>
          <w:szCs w:val="11"/>
          <w:color w:val="auto"/>
        </w:rPr>
        <w:t>Per share amounts do not foot due to rounding.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color w:val="auto"/>
                <w:highlight w:val="black"/>
              </w:rPr>
              <w:t>GAAP</w:t>
            </w:r>
          </w:p>
        </w:tc>
        <w:tc>
          <w:tcPr>
            <w:tcW w:w="16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2"/>
                <w:szCs w:val="12"/>
                <w:color w:val="auto"/>
                <w:highlight w:val="black"/>
              </w:rPr>
              <w:t>Stock-Based</w:t>
            </w:r>
          </w:p>
        </w:tc>
        <w:tc>
          <w:tcPr>
            <w:tcW w:w="14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auto"/>
                <w:highlight w:val="black"/>
              </w:rPr>
              <w:t>Litigation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2"/>
                <w:szCs w:val="12"/>
                <w:color w:val="auto"/>
                <w:highlight w:val="black"/>
              </w:rPr>
              <w:t>Severance</w:t>
            </w:r>
          </w:p>
        </w:tc>
        <w:tc>
          <w:tcPr>
            <w:tcW w:w="1140" w:type="dxa"/>
            <w:vAlign w:val="bottom"/>
            <w:gridSpan w:val="3"/>
          </w:tcPr>
          <w:p>
            <w:pPr>
              <w:ind w:left="20"/>
              <w:spacing w:after="0"/>
              <w:rPr>
                <w:sz w:val="20"/>
                <w:szCs w:val="20"/>
                <w:color w:val="auto"/>
              </w:rPr>
            </w:pPr>
            <w:r>
              <w:rPr>
                <w:rFonts w:ascii="Arial" w:cs="Arial" w:eastAsia="Arial" w:hAnsi="Arial"/>
                <w:sz w:val="12"/>
                <w:szCs w:val="12"/>
                <w:color w:val="auto"/>
                <w:highlight w:val="black"/>
              </w:rPr>
              <w:t>Lease Impairment</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color w:val="auto"/>
                <w:highlight w:val="black"/>
              </w:rPr>
              <w:t>Short-Swing</w:t>
            </w:r>
          </w:p>
        </w:tc>
        <w:tc>
          <w:tcPr>
            <w:tcW w:w="1180" w:type="dxa"/>
            <w:vAlign w:val="bottom"/>
            <w:gridSpan w:val="3"/>
          </w:tcPr>
          <w:p>
            <w:pPr>
              <w:ind w:left="40"/>
              <w:spacing w:after="0"/>
              <w:rPr>
                <w:sz w:val="20"/>
                <w:szCs w:val="20"/>
                <w:color w:val="auto"/>
              </w:rPr>
            </w:pPr>
            <w:r>
              <w:rPr>
                <w:rFonts w:ascii="Arial" w:cs="Arial" w:eastAsia="Arial" w:hAnsi="Arial"/>
                <w:sz w:val="12"/>
                <w:szCs w:val="12"/>
                <w:color w:val="auto"/>
                <w:highlight w:val="black"/>
              </w:rPr>
              <w:t>Unrealized Foreign</w:t>
            </w:r>
          </w:p>
        </w:tc>
        <w:tc>
          <w:tcPr>
            <w:tcW w:w="140" w:type="dxa"/>
            <w:vAlign w:val="bottom"/>
          </w:tcPr>
          <w:p>
            <w:pPr>
              <w:spacing w:after="0"/>
              <w:rPr>
                <w:sz w:val="12"/>
                <w:szCs w:val="12"/>
                <w:color w:val="auto"/>
              </w:rPr>
            </w:pPr>
          </w:p>
        </w:tc>
        <w:tc>
          <w:tcPr>
            <w:tcW w:w="800" w:type="dxa"/>
            <w:vAlign w:val="bottom"/>
            <w:vMerge w:val="restart"/>
          </w:tcPr>
          <w:p>
            <w:pPr>
              <w:jc w:val="right"/>
              <w:ind w:right="119"/>
              <w:spacing w:after="0"/>
              <w:rPr>
                <w:sz w:val="20"/>
                <w:szCs w:val="20"/>
                <w:color w:val="auto"/>
              </w:rPr>
            </w:pPr>
            <w:r>
              <w:rPr>
                <w:rFonts w:ascii="Arial" w:cs="Arial" w:eastAsia="Arial" w:hAnsi="Arial"/>
                <w:sz w:val="12"/>
                <w:szCs w:val="12"/>
                <w:color w:val="auto"/>
                <w:highlight w:val="black"/>
              </w:rPr>
              <w:t>Non-GAAP</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2"/>
                <w:szCs w:val="12"/>
                <w:color w:val="auto"/>
                <w:highlight w:val="black"/>
              </w:rPr>
              <w:t>and Lease-</w:t>
            </w: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color w:val="auto"/>
                <w:highlight w:val="black"/>
                <w:w w:val="99"/>
              </w:rPr>
              <w:t>Profit</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highlight w:val="black"/>
                <w:w w:val="99"/>
              </w:rPr>
              <w:t>Exchange Rate</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9"/>
              <w:spacing w:after="0" w:line="123" w:lineRule="exact"/>
              <w:rPr>
                <w:sz w:val="20"/>
                <w:szCs w:val="20"/>
                <w:color w:val="auto"/>
              </w:rPr>
            </w:pPr>
            <w:r>
              <w:rPr>
                <w:rFonts w:ascii="Arial" w:cs="Arial" w:eastAsia="Arial" w:hAnsi="Arial"/>
                <w:sz w:val="12"/>
                <w:szCs w:val="12"/>
                <w:color w:val="auto"/>
                <w:highlight w:val="black"/>
              </w:rPr>
              <w:t>Measure</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59"/>
              <w:spacing w:after="0" w:line="123" w:lineRule="exact"/>
              <w:rPr>
                <w:sz w:val="20"/>
                <w:szCs w:val="20"/>
                <w:color w:val="auto"/>
              </w:rPr>
            </w:pPr>
            <w:r>
              <w:rPr>
                <w:rFonts w:ascii="Arial" w:cs="Arial" w:eastAsia="Arial" w:hAnsi="Arial"/>
                <w:sz w:val="12"/>
                <w:szCs w:val="12"/>
                <w:color w:val="auto"/>
                <w:highlight w:val="black"/>
              </w:rPr>
              <w:t>Compensation</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39"/>
              <w:spacing w:after="0" w:line="123" w:lineRule="exact"/>
              <w:rPr>
                <w:sz w:val="20"/>
                <w:szCs w:val="20"/>
                <w:color w:val="auto"/>
              </w:rPr>
            </w:pPr>
            <w:r>
              <w:rPr>
                <w:rFonts w:ascii="Arial" w:cs="Arial" w:eastAsia="Arial" w:hAnsi="Arial"/>
                <w:sz w:val="12"/>
                <w:szCs w:val="12"/>
                <w:color w:val="auto"/>
                <w:highlight w:val="black"/>
              </w:rPr>
              <w:t>Expense</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9"/>
              <w:spacing w:after="0" w:line="123" w:lineRule="exact"/>
              <w:rPr>
                <w:sz w:val="20"/>
                <w:szCs w:val="20"/>
                <w:color w:val="auto"/>
              </w:rPr>
            </w:pPr>
            <w:r>
              <w:rPr>
                <w:rFonts w:ascii="Arial" w:cs="Arial" w:eastAsia="Arial" w:hAnsi="Arial"/>
                <w:sz w:val="12"/>
                <w:szCs w:val="12"/>
                <w:color w:val="auto"/>
                <w:highlight w:val="black"/>
              </w:rPr>
              <w:t>JPI Amortization</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9"/>
              <w:spacing w:after="0" w:line="123" w:lineRule="exact"/>
              <w:rPr>
                <w:sz w:val="20"/>
                <w:szCs w:val="20"/>
                <w:color w:val="auto"/>
              </w:rPr>
            </w:pPr>
            <w:r>
              <w:rPr>
                <w:rFonts w:ascii="Arial" w:cs="Arial" w:eastAsia="Arial" w:hAnsi="Arial"/>
                <w:sz w:val="12"/>
                <w:szCs w:val="12"/>
                <w:color w:val="auto"/>
                <w:highlight w:val="black"/>
              </w:rPr>
              <w:t>Costs</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gridSpan w:val="2"/>
          </w:tcPr>
          <w:p>
            <w:pPr>
              <w:jc w:val="center"/>
              <w:spacing w:after="0" w:line="123" w:lineRule="exact"/>
              <w:rPr>
                <w:sz w:val="20"/>
                <w:szCs w:val="20"/>
                <w:color w:val="auto"/>
              </w:rPr>
            </w:pPr>
            <w:r>
              <w:rPr>
                <w:rFonts w:ascii="Arial" w:cs="Arial" w:eastAsia="Arial" w:hAnsi="Arial"/>
                <w:sz w:val="12"/>
                <w:szCs w:val="12"/>
                <w:color w:val="auto"/>
                <w:highlight w:val="black"/>
                <w:w w:val="99"/>
              </w:rPr>
              <w:t>Related Charges</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79"/>
              <w:spacing w:after="0" w:line="123" w:lineRule="exact"/>
              <w:rPr>
                <w:sz w:val="20"/>
                <w:szCs w:val="20"/>
                <w:color w:val="auto"/>
              </w:rPr>
            </w:pPr>
            <w:r>
              <w:rPr>
                <w:rFonts w:ascii="Arial" w:cs="Arial" w:eastAsia="Arial" w:hAnsi="Arial"/>
                <w:sz w:val="12"/>
                <w:szCs w:val="12"/>
                <w:color w:val="auto"/>
                <w:highlight w:val="black"/>
              </w:rPr>
              <w:t>Payment</w:t>
            </w: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gridSpan w:val="2"/>
          </w:tcPr>
          <w:p>
            <w:pPr>
              <w:jc w:val="center"/>
              <w:spacing w:after="0" w:line="123" w:lineRule="exact"/>
              <w:rPr>
                <w:sz w:val="20"/>
                <w:szCs w:val="20"/>
                <w:color w:val="auto"/>
              </w:rPr>
            </w:pPr>
            <w:r>
              <w:rPr>
                <w:rFonts w:ascii="Arial" w:cs="Arial" w:eastAsia="Arial" w:hAnsi="Arial"/>
                <w:sz w:val="12"/>
                <w:szCs w:val="12"/>
                <w:color w:val="auto"/>
                <w:highlight w:val="black"/>
                <w:w w:val="99"/>
              </w:rPr>
              <w:t>Gains and Losses</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79"/>
              <w:spacing w:after="0" w:line="123" w:lineRule="exact"/>
              <w:rPr>
                <w:sz w:val="20"/>
                <w:szCs w:val="20"/>
                <w:color w:val="auto"/>
              </w:rPr>
            </w:pPr>
            <w:r>
              <w:rPr>
                <w:rFonts w:ascii="Arial" w:cs="Arial" w:eastAsia="Arial" w:hAnsi="Arial"/>
                <w:sz w:val="12"/>
                <w:szCs w:val="12"/>
                <w:color w:val="auto"/>
                <w:highlight w:val="black"/>
              </w:rPr>
              <w:t>Measure</w:t>
            </w: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Year Ended December 31, 2024</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00" w:type="dxa"/>
            <w:vAlign w:val="bottom"/>
          </w:tcPr>
          <w:p>
            <w:pPr>
              <w:ind w:left="140"/>
              <w:spacing w:after="0"/>
              <w:rPr>
                <w:sz w:val="20"/>
                <w:szCs w:val="20"/>
                <w:color w:val="auto"/>
              </w:rPr>
            </w:pPr>
            <w:r>
              <w:rPr>
                <w:rFonts w:ascii="Arial" w:cs="Arial" w:eastAsia="Arial" w:hAnsi="Arial"/>
                <w:sz w:val="12"/>
                <w:szCs w:val="12"/>
                <w:color w:val="auto"/>
              </w:rPr>
              <w:t>Subscriptions cost of</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0" w:type="dxa"/>
            <w:vAlign w:val="bottom"/>
          </w:tcPr>
          <w:p>
            <w:pPr>
              <w:ind w:left="140"/>
              <w:spacing w:after="0" w:line="135" w:lineRule="exact"/>
              <w:rPr>
                <w:sz w:val="20"/>
                <w:szCs w:val="20"/>
                <w:color w:val="auto"/>
              </w:rPr>
            </w:pPr>
            <w:r>
              <w:rPr>
                <w:rFonts w:ascii="Arial" w:cs="Arial" w:eastAsia="Arial" w:hAnsi="Arial"/>
                <w:sz w:val="12"/>
                <w:szCs w:val="12"/>
                <w:color w:val="auto"/>
              </w:rPr>
              <w:t>revenue</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tcPr>
          <w:p>
            <w:pPr>
              <w:jc w:val="right"/>
              <w:ind w:right="19"/>
              <w:spacing w:after="0" w:line="135" w:lineRule="exact"/>
              <w:rPr>
                <w:sz w:val="20"/>
                <w:szCs w:val="20"/>
                <w:color w:val="auto"/>
              </w:rPr>
            </w:pPr>
            <w:r>
              <w:rPr>
                <w:rFonts w:ascii="Arial" w:cs="Arial" w:eastAsia="Arial" w:hAnsi="Arial"/>
                <w:sz w:val="12"/>
                <w:szCs w:val="12"/>
                <w:color w:val="auto"/>
              </w:rPr>
              <w:t>65,680</w:t>
            </w:r>
          </w:p>
        </w:tc>
        <w:tc>
          <w:tcPr>
            <w:tcW w:w="80" w:type="dxa"/>
            <w:vAlign w:val="bottom"/>
          </w:tcPr>
          <w:p>
            <w:pPr>
              <w:spacing w:after="0"/>
              <w:rPr>
                <w:sz w:val="12"/>
                <w:szCs w:val="12"/>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2"/>
                <w:szCs w:val="12"/>
                <w:color w:val="auto"/>
              </w:rPr>
              <w:t>(1,638)</w:t>
            </w:r>
          </w:p>
        </w:tc>
        <w:tc>
          <w:tcPr>
            <w:tcW w:w="80" w:type="dxa"/>
            <w:vAlign w:val="bottom"/>
          </w:tcPr>
          <w:p>
            <w:pPr>
              <w:spacing w:after="0"/>
              <w:rPr>
                <w:sz w:val="12"/>
                <w:szCs w:val="12"/>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8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64,042</w:t>
            </w:r>
          </w:p>
        </w:tc>
        <w:tc>
          <w:tcPr>
            <w:tcW w:w="0" w:type="dxa"/>
            <w:vAlign w:val="bottom"/>
          </w:tcPr>
          <w:p>
            <w:pPr>
              <w:spacing w:after="0"/>
              <w:rPr>
                <w:sz w:val="1"/>
                <w:szCs w:val="1"/>
                <w:color w:val="auto"/>
              </w:rPr>
            </w:pPr>
          </w:p>
        </w:tc>
      </w:tr>
      <w:tr>
        <w:trPr>
          <w:trHeight w:val="168"/>
        </w:trPr>
        <w:tc>
          <w:tcPr>
            <w:tcW w:w="1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Professional services cost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of revenue</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102,560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95,237</w:t>
            </w:r>
          </w:p>
        </w:tc>
        <w:tc>
          <w:tcPr>
            <w:tcW w:w="0" w:type="dxa"/>
            <w:vAlign w:val="bottom"/>
          </w:tcPr>
          <w:p>
            <w:pPr>
              <w:spacing w:after="0"/>
              <w:rPr>
                <w:sz w:val="1"/>
                <w:szCs w:val="1"/>
                <w:color w:val="auto"/>
              </w:rPr>
            </w:pPr>
          </w:p>
        </w:tc>
      </w:tr>
      <w:tr>
        <w:trPr>
          <w:trHeight w:val="168"/>
        </w:trPr>
        <w:tc>
          <w:tcPr>
            <w:tcW w:w="1600" w:type="dxa"/>
            <w:vAlign w:val="bottom"/>
          </w:tcPr>
          <w:p>
            <w:pPr>
              <w:ind w:left="140"/>
              <w:spacing w:after="0"/>
              <w:rPr>
                <w:sz w:val="20"/>
                <w:szCs w:val="20"/>
                <w:color w:val="auto"/>
              </w:rPr>
            </w:pPr>
            <w:r>
              <w:rPr>
                <w:rFonts w:ascii="Arial" w:cs="Arial" w:eastAsia="Arial" w:hAnsi="Arial"/>
                <w:sz w:val="12"/>
                <w:szCs w:val="12"/>
                <w:color w:val="auto"/>
              </w:rPr>
              <w:t>Total cost of revenue</w:t>
            </w:r>
          </w:p>
        </w:tc>
        <w:tc>
          <w:tcPr>
            <w:tcW w:w="14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2"/>
                <w:szCs w:val="12"/>
                <w:color w:val="auto"/>
              </w:rPr>
              <w:t>168,240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(7,563)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159,279</w:t>
            </w:r>
          </w:p>
        </w:tc>
        <w:tc>
          <w:tcPr>
            <w:tcW w:w="0" w:type="dxa"/>
            <w:vAlign w:val="bottom"/>
          </w:tcPr>
          <w:p>
            <w:pPr>
              <w:spacing w:after="0"/>
              <w:rPr>
                <w:sz w:val="1"/>
                <w:szCs w:val="1"/>
                <w:color w:val="auto"/>
              </w:rPr>
            </w:pPr>
          </w:p>
        </w:tc>
      </w:tr>
      <w:tr>
        <w:trPr>
          <w:trHeight w:val="168"/>
        </w:trPr>
        <w:tc>
          <w:tcPr>
            <w:tcW w:w="1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Sales and marketing</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expense</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238,454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225,991</w:t>
            </w:r>
          </w:p>
        </w:tc>
        <w:tc>
          <w:tcPr>
            <w:tcW w:w="0" w:type="dxa"/>
            <w:vAlign w:val="bottom"/>
          </w:tcPr>
          <w:p>
            <w:pPr>
              <w:spacing w:after="0"/>
              <w:rPr>
                <w:sz w:val="1"/>
                <w:szCs w:val="1"/>
                <w:color w:val="auto"/>
              </w:rPr>
            </w:pPr>
          </w:p>
        </w:tc>
      </w:tr>
      <w:tr>
        <w:trPr>
          <w:trHeight w:val="161"/>
        </w:trPr>
        <w:tc>
          <w:tcPr>
            <w:tcW w:w="1600" w:type="dxa"/>
            <w:vAlign w:val="bottom"/>
          </w:tcPr>
          <w:p>
            <w:pPr>
              <w:ind w:left="140"/>
              <w:spacing w:after="0"/>
              <w:rPr>
                <w:sz w:val="20"/>
                <w:szCs w:val="20"/>
                <w:color w:val="auto"/>
              </w:rPr>
            </w:pPr>
            <w:r>
              <w:rPr>
                <w:rFonts w:ascii="Arial" w:cs="Arial" w:eastAsia="Arial" w:hAnsi="Arial"/>
                <w:sz w:val="12"/>
                <w:szCs w:val="12"/>
                <w:color w:val="auto"/>
              </w:rPr>
              <w:t>Research and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0" w:type="dxa"/>
            <w:vAlign w:val="bottom"/>
          </w:tcPr>
          <w:p>
            <w:pPr>
              <w:ind w:left="140"/>
              <w:spacing w:after="0" w:line="135" w:lineRule="exact"/>
              <w:rPr>
                <w:sz w:val="20"/>
                <w:szCs w:val="20"/>
                <w:color w:val="auto"/>
              </w:rPr>
            </w:pPr>
            <w:r>
              <w:rPr>
                <w:rFonts w:ascii="Arial" w:cs="Arial" w:eastAsia="Arial" w:hAnsi="Arial"/>
                <w:sz w:val="12"/>
                <w:szCs w:val="12"/>
                <w:color w:val="auto"/>
              </w:rPr>
              <w:t>development expense</w:t>
            </w:r>
          </w:p>
        </w:tc>
        <w:tc>
          <w:tcPr>
            <w:tcW w:w="140" w:type="dxa"/>
            <w:vAlign w:val="bottom"/>
          </w:tcPr>
          <w:p>
            <w:pPr>
              <w:spacing w:after="0"/>
              <w:rPr>
                <w:sz w:val="12"/>
                <w:szCs w:val="12"/>
                <w:color w:val="auto"/>
              </w:rPr>
            </w:pPr>
          </w:p>
        </w:tc>
        <w:tc>
          <w:tcPr>
            <w:tcW w:w="680" w:type="dxa"/>
            <w:vAlign w:val="bottom"/>
          </w:tcPr>
          <w:p>
            <w:pPr>
              <w:jc w:val="right"/>
              <w:ind w:right="19"/>
              <w:spacing w:after="0" w:line="135" w:lineRule="exact"/>
              <w:rPr>
                <w:sz w:val="20"/>
                <w:szCs w:val="20"/>
                <w:color w:val="auto"/>
              </w:rPr>
            </w:pPr>
            <w:r>
              <w:rPr>
                <w:rFonts w:ascii="Arial" w:cs="Arial" w:eastAsia="Arial" w:hAnsi="Arial"/>
                <w:sz w:val="12"/>
                <w:szCs w:val="12"/>
                <w:color w:val="auto"/>
              </w:rPr>
              <w:t>163,400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2"/>
                <w:szCs w:val="12"/>
                <w:color w:val="auto"/>
              </w:rPr>
              <w:t>(12,077)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151,318</w:t>
            </w:r>
          </w:p>
        </w:tc>
        <w:tc>
          <w:tcPr>
            <w:tcW w:w="0" w:type="dxa"/>
            <w:vAlign w:val="bottom"/>
          </w:tcPr>
          <w:p>
            <w:pPr>
              <w:spacing w:after="0"/>
              <w:rPr>
                <w:sz w:val="1"/>
                <w:szCs w:val="1"/>
                <w:color w:val="auto"/>
              </w:rPr>
            </w:pPr>
          </w:p>
        </w:tc>
      </w:tr>
      <w:tr>
        <w:trPr>
          <w:trHeight w:val="168"/>
        </w:trPr>
        <w:tc>
          <w:tcPr>
            <w:tcW w:w="1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administrative expense</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107,781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(10,879)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(15,795)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(6,104)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70,207</w:t>
            </w:r>
          </w:p>
        </w:tc>
        <w:tc>
          <w:tcPr>
            <w:tcW w:w="0" w:type="dxa"/>
            <w:vAlign w:val="bottom"/>
          </w:tcPr>
          <w:p>
            <w:pPr>
              <w:spacing w:after="0"/>
              <w:rPr>
                <w:sz w:val="1"/>
                <w:szCs w:val="1"/>
                <w:color w:val="auto"/>
              </w:rPr>
            </w:pPr>
          </w:p>
        </w:tc>
      </w:tr>
      <w:tr>
        <w:trPr>
          <w:trHeight w:val="168"/>
        </w:trPr>
        <w:tc>
          <w:tcPr>
            <w:tcW w:w="1600" w:type="dxa"/>
            <w:vAlign w:val="bottom"/>
          </w:tcPr>
          <w:p>
            <w:pPr>
              <w:ind w:left="140"/>
              <w:spacing w:after="0"/>
              <w:rPr>
                <w:sz w:val="20"/>
                <w:szCs w:val="20"/>
                <w:color w:val="auto"/>
              </w:rPr>
            </w:pPr>
            <w:r>
              <w:rPr>
                <w:rFonts w:ascii="Arial" w:cs="Arial" w:eastAsia="Arial" w:hAnsi="Arial"/>
                <w:sz w:val="12"/>
                <w:szCs w:val="12"/>
                <w:color w:val="auto"/>
              </w:rPr>
              <w:t>Total operating expense</w:t>
            </w:r>
          </w:p>
        </w:tc>
        <w:tc>
          <w:tcPr>
            <w:tcW w:w="14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2"/>
                <w:szCs w:val="12"/>
                <w:color w:val="auto"/>
              </w:rPr>
              <w:t>509,635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(31,482)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(15,795)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(4,136)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(6,104)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447,516</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(loss) income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39,045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15,795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6,104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10,227</w:t>
            </w:r>
          </w:p>
        </w:tc>
        <w:tc>
          <w:tcPr>
            <w:tcW w:w="0" w:type="dxa"/>
            <w:vAlign w:val="bottom"/>
          </w:tcPr>
          <w:p>
            <w:pPr>
              <w:spacing w:after="0"/>
              <w:rPr>
                <w:sz w:val="1"/>
                <w:szCs w:val="1"/>
                <w:color w:val="auto"/>
              </w:rPr>
            </w:pPr>
          </w:p>
        </w:tc>
      </w:tr>
      <w:tr>
        <w:trPr>
          <w:trHeight w:val="161"/>
        </w:trPr>
        <w:tc>
          <w:tcPr>
            <w:tcW w:w="1600" w:type="dxa"/>
            <w:vAlign w:val="bottom"/>
          </w:tcPr>
          <w:p>
            <w:pPr>
              <w:ind w:left="140"/>
              <w:spacing w:after="0"/>
              <w:rPr>
                <w:sz w:val="20"/>
                <w:szCs w:val="20"/>
                <w:color w:val="auto"/>
              </w:rPr>
            </w:pPr>
            <w:r>
              <w:rPr>
                <w:rFonts w:ascii="Arial" w:cs="Arial" w:eastAsia="Arial" w:hAnsi="Arial"/>
                <w:sz w:val="12"/>
                <w:szCs w:val="12"/>
                <w:color w:val="auto"/>
              </w:rPr>
              <w:t>Non-operating expense</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0" w:type="dxa"/>
            <w:vAlign w:val="bottom"/>
          </w:tcPr>
          <w:p>
            <w:pPr>
              <w:ind w:left="140"/>
              <w:spacing w:after="0" w:line="135" w:lineRule="exact"/>
              <w:rPr>
                <w:sz w:val="20"/>
                <w:szCs w:val="20"/>
                <w:color w:val="auto"/>
              </w:rPr>
            </w:pPr>
            <w:r>
              <w:rPr>
                <w:rFonts w:ascii="Arial" w:cs="Arial" w:eastAsia="Arial" w:hAnsi="Arial"/>
                <w:sz w:val="12"/>
                <w:szCs w:val="12"/>
                <w:color w:val="auto"/>
              </w:rPr>
              <w:t>(income)</w:t>
            </w:r>
          </w:p>
        </w:tc>
        <w:tc>
          <w:tcPr>
            <w:tcW w:w="140" w:type="dxa"/>
            <w:vAlign w:val="bottom"/>
          </w:tcPr>
          <w:p>
            <w:pPr>
              <w:spacing w:after="0"/>
              <w:rPr>
                <w:sz w:val="12"/>
                <w:szCs w:val="12"/>
                <w:color w:val="auto"/>
              </w:rPr>
            </w:pPr>
          </w:p>
        </w:tc>
        <w:tc>
          <w:tcPr>
            <w:tcW w:w="680" w:type="dxa"/>
            <w:vAlign w:val="bottom"/>
          </w:tcPr>
          <w:p>
            <w:pPr>
              <w:jc w:val="right"/>
              <w:ind w:right="19"/>
              <w:spacing w:after="0" w:line="135" w:lineRule="exact"/>
              <w:rPr>
                <w:sz w:val="20"/>
                <w:szCs w:val="20"/>
                <w:color w:val="auto"/>
              </w:rPr>
            </w:pPr>
            <w:r>
              <w:rPr>
                <w:rFonts w:ascii="Arial" w:cs="Arial" w:eastAsia="Arial" w:hAnsi="Arial"/>
                <w:sz w:val="12"/>
                <w:szCs w:val="12"/>
                <w:color w:val="auto"/>
              </w:rPr>
              <w:t>30,355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1,799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(16,697)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9"/>
              <w:spacing w:after="0" w:line="135" w:lineRule="exact"/>
              <w:rPr>
                <w:sz w:val="20"/>
                <w:szCs w:val="20"/>
                <w:color w:val="auto"/>
              </w:rPr>
            </w:pPr>
            <w:r>
              <w:rPr>
                <w:rFonts w:ascii="Arial" w:cs="Arial" w:eastAsia="Arial" w:hAnsi="Arial"/>
                <w:sz w:val="12"/>
                <w:szCs w:val="12"/>
                <w:color w:val="auto"/>
              </w:rPr>
              <w:t>15,457</w:t>
            </w:r>
          </w:p>
        </w:tc>
        <w:tc>
          <w:tcPr>
            <w:tcW w:w="0" w:type="dxa"/>
            <w:vAlign w:val="bottom"/>
          </w:tcPr>
          <w:p>
            <w:pPr>
              <w:spacing w:after="0"/>
              <w:rPr>
                <w:sz w:val="1"/>
                <w:szCs w:val="1"/>
                <w:color w:val="auto"/>
              </w:rPr>
            </w:pPr>
          </w:p>
        </w:tc>
      </w:tr>
      <w:tr>
        <w:trPr>
          <w:trHeight w:val="168"/>
        </w:trPr>
        <w:tc>
          <w:tcPr>
            <w:tcW w:w="1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impact of</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above items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1,054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1,499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4,128</w:t>
            </w:r>
          </w:p>
        </w:tc>
        <w:tc>
          <w:tcPr>
            <w:tcW w:w="0" w:type="dxa"/>
            <w:vAlign w:val="bottom"/>
          </w:tcPr>
          <w:p>
            <w:pPr>
              <w:spacing w:after="0"/>
              <w:rPr>
                <w:sz w:val="1"/>
                <w:szCs w:val="1"/>
                <w:color w:val="auto"/>
              </w:rPr>
            </w:pPr>
          </w:p>
        </w:tc>
      </w:tr>
      <w:tr>
        <w:trPr>
          <w:trHeight w:val="168"/>
        </w:trPr>
        <w:tc>
          <w:tcPr>
            <w:tcW w:w="1600" w:type="dxa"/>
            <w:vAlign w:val="bottom"/>
          </w:tcPr>
          <w:p>
            <w:pPr>
              <w:ind w:left="140"/>
              <w:spacing w:after="0"/>
              <w:rPr>
                <w:sz w:val="20"/>
                <w:szCs w:val="20"/>
                <w:color w:val="auto"/>
              </w:rPr>
            </w:pPr>
            <w:r>
              <w:rPr>
                <w:rFonts w:ascii="Arial" w:cs="Arial" w:eastAsia="Arial" w:hAnsi="Arial"/>
                <w:sz w:val="12"/>
                <w:szCs w:val="12"/>
                <w:color w:val="auto"/>
              </w:rPr>
              <w:t>Net (loss) income</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(92,262)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9"/>
              <w:spacing w:after="0"/>
              <w:rPr>
                <w:sz w:val="20"/>
                <w:szCs w:val="20"/>
                <w:color w:val="auto"/>
              </w:rPr>
            </w:pPr>
            <w:r>
              <w:rPr>
                <w:rFonts w:ascii="Arial" w:cs="Arial" w:eastAsia="Arial" w:hAnsi="Arial"/>
                <w:sz w:val="12"/>
                <w:szCs w:val="12"/>
                <w:color w:val="auto"/>
              </w:rPr>
              <w:t>37,546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15,795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6,104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16,218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(9,358)</w:t>
            </w:r>
          </w:p>
        </w:tc>
        <w:tc>
          <w:tcPr>
            <w:tcW w:w="0" w:type="dxa"/>
            <w:vAlign w:val="bottom"/>
          </w:tcPr>
          <w:p>
            <w:pPr>
              <w:spacing w:after="0"/>
              <w:rPr>
                <w:sz w:val="1"/>
                <w:szCs w:val="1"/>
                <w:color w:val="auto"/>
              </w:rPr>
            </w:pPr>
          </w:p>
        </w:tc>
      </w:tr>
      <w:tr>
        <w:trPr>
          <w:trHeight w:val="168"/>
        </w:trPr>
        <w:tc>
          <w:tcPr>
            <w:tcW w:w="1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income per</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share, basic and diluted</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0.51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0.22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9"/>
              <w:spacing w:after="0" w:line="135" w:lineRule="exact"/>
              <w:rPr>
                <w:sz w:val="20"/>
                <w:szCs w:val="20"/>
                <w:color w:val="auto"/>
              </w:rPr>
            </w:pPr>
            <w:r>
              <w:rPr>
                <w:rFonts w:ascii="Arial" w:cs="Arial" w:eastAsia="Arial" w:hAnsi="Arial"/>
                <w:sz w:val="12"/>
                <w:szCs w:val="12"/>
                <w:color w:val="auto"/>
              </w:rPr>
              <w:t>0.08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(0.13)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24"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3800" w:type="dxa"/>
            <w:vAlign w:val="bottom"/>
            <w:gridSpan w:val="6"/>
          </w:tcPr>
          <w:p>
            <w:pPr>
              <w:ind w:left="600"/>
              <w:spacing w:after="0"/>
              <w:rPr>
                <w:sz w:val="20"/>
                <w:szCs w:val="20"/>
                <w:color w:val="auto"/>
              </w:rPr>
            </w:pPr>
            <w:r>
              <w:rPr>
                <w:rFonts w:ascii="Arial" w:cs="Arial" w:eastAsia="Arial" w:hAnsi="Arial"/>
                <w:sz w:val="16"/>
                <w:szCs w:val="16"/>
                <w:color w:val="auto"/>
              </w:rPr>
              <w:t>Three Months Ended December 31,</w:t>
            </w:r>
          </w:p>
        </w:tc>
        <w:tc>
          <w:tcPr>
            <w:tcW w:w="340" w:type="dxa"/>
            <w:vAlign w:val="bottom"/>
          </w:tcPr>
          <w:p>
            <w:pPr>
              <w:spacing w:after="0"/>
              <w:rPr>
                <w:sz w:val="16"/>
                <w:szCs w:val="16"/>
                <w:color w:val="auto"/>
              </w:rPr>
            </w:pPr>
          </w:p>
        </w:tc>
        <w:tc>
          <w:tcPr>
            <w:tcW w:w="2740" w:type="dxa"/>
            <w:vAlign w:val="bottom"/>
            <w:gridSpan w:val="4"/>
          </w:tcPr>
          <w:p>
            <w:pPr>
              <w:jc w:val="right"/>
              <w:ind w:right="521"/>
              <w:spacing w:after="0"/>
              <w:rPr>
                <w:sz w:val="20"/>
                <w:szCs w:val="20"/>
                <w:color w:val="auto"/>
              </w:rPr>
            </w:pPr>
            <w:r>
              <w:rPr>
                <w:rFonts w:ascii="Arial" w:cs="Arial" w:eastAsia="Arial" w:hAnsi="Arial"/>
                <w:sz w:val="16"/>
                <w:szCs w:val="16"/>
                <w:color w:val="auto"/>
              </w:rPr>
              <w:t>Year Ended December 31,</w:t>
            </w:r>
          </w:p>
        </w:tc>
      </w:tr>
      <w:tr>
        <w:trPr>
          <w:trHeight w:val="209"/>
        </w:trPr>
        <w:tc>
          <w:tcPr>
            <w:tcW w:w="436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highlight w:val="black"/>
              </w:rPr>
              <w:t>2025</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color w:val="auto"/>
                <w:highlight w:val="black"/>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color w:val="auto"/>
                <w:highlight w:val="black"/>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color w:val="auto"/>
                <w:highlight w:val="black"/>
              </w:rPr>
              <w:t>2024</w:t>
            </w:r>
          </w:p>
        </w:tc>
      </w:tr>
      <w:tr>
        <w:trPr>
          <w:trHeight w:val="200"/>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adjusted EBITDA:</w:t>
            </w: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2"/>
        </w:trPr>
        <w:tc>
          <w:tcPr>
            <w:tcW w:w="4360" w:type="dxa"/>
            <w:vAlign w:val="bottom"/>
          </w:tcPr>
          <w:p>
            <w:pPr>
              <w:ind w:left="140"/>
              <w:spacing w:after="0"/>
              <w:rPr>
                <w:sz w:val="20"/>
                <w:szCs w:val="20"/>
                <w:color w:val="auto"/>
              </w:rPr>
            </w:pPr>
            <w:r>
              <w:rPr>
                <w:rFonts w:ascii="Arial" w:cs="Arial" w:eastAsia="Arial" w:hAnsi="Arial"/>
                <w:sz w:val="16"/>
                <w:szCs w:val="16"/>
                <w:color w:val="auto"/>
              </w:rPr>
              <w:t>GAAP net (loss) income</w:t>
            </w:r>
          </w:p>
        </w:tc>
        <w:tc>
          <w:tcPr>
            <w:tcW w:w="1160" w:type="dxa"/>
            <w:vAlign w:val="bottom"/>
          </w:tcPr>
          <w:p>
            <w:pPr>
              <w:jc w:val="right"/>
              <w:ind w:right="96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(5,103)</w:t>
            </w:r>
          </w:p>
        </w:tc>
        <w:tc>
          <w:tcPr>
            <w:tcW w:w="12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(13,647)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(92,262)</w:t>
            </w:r>
          </w:p>
        </w:tc>
      </w:tr>
      <w:tr>
        <w:trPr>
          <w:trHeight w:val="220"/>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expense, net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6,773</w:t>
            </w:r>
          </w:p>
        </w:tc>
      </w:tr>
      <w:tr>
        <w:trPr>
          <w:trHeight w:val="212"/>
        </w:trPr>
        <w:tc>
          <w:tcPr>
            <w:tcW w:w="43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4,902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20,850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23,582</w:t>
            </w:r>
          </w:p>
        </w:tc>
      </w:tr>
      <w:tr>
        <w:trPr>
          <w:trHeight w:val="220"/>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expense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1,054</w:t>
            </w:r>
          </w:p>
        </w:tc>
      </w:tr>
      <w:tr>
        <w:trPr>
          <w:trHeight w:val="209"/>
        </w:trPr>
        <w:tc>
          <w:tcPr>
            <w:tcW w:w="4360" w:type="dxa"/>
            <w:vAlign w:val="bottom"/>
          </w:tcPr>
          <w:p>
            <w:pPr>
              <w:ind w:left="240"/>
              <w:spacing w:after="0"/>
              <w:rPr>
                <w:sz w:val="20"/>
                <w:szCs w:val="20"/>
                <w:color w:val="auto"/>
              </w:rPr>
            </w:pPr>
            <w:r>
              <w:rPr>
                <w:rFonts w:ascii="Arial" w:cs="Arial" w:eastAsia="Arial" w:hAnsi="Arial"/>
                <w:sz w:val="16"/>
                <w:szCs w:val="16"/>
                <w:color w:val="auto"/>
              </w:rPr>
              <w:t>Depreciation expense and amortization of intangible</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66"/>
        </w:trPr>
        <w:tc>
          <w:tcPr>
            <w:tcW w:w="4360" w:type="dxa"/>
            <w:vAlign w:val="bottom"/>
          </w:tcPr>
          <w:p>
            <w:pPr>
              <w:ind w:left="240"/>
              <w:spacing w:after="0" w:line="162" w:lineRule="exact"/>
              <w:rPr>
                <w:sz w:val="20"/>
                <w:szCs w:val="20"/>
                <w:color w:val="auto"/>
              </w:rPr>
            </w:pPr>
            <w:r>
              <w:rPr>
                <w:rFonts w:ascii="Arial" w:cs="Arial" w:eastAsia="Arial" w:hAnsi="Arial"/>
                <w:sz w:val="16"/>
                <w:szCs w:val="16"/>
                <w:color w:val="auto"/>
              </w:rPr>
              <w:t>assets</w:t>
            </w:r>
          </w:p>
        </w:tc>
        <w:tc>
          <w:tcPr>
            <w:tcW w:w="1160" w:type="dxa"/>
            <w:vAlign w:val="bottom"/>
          </w:tcPr>
          <w:p>
            <w:pPr>
              <w:spacing w:after="0"/>
              <w:rPr>
                <w:sz w:val="14"/>
                <w:szCs w:val="14"/>
                <w:color w:val="auto"/>
              </w:rPr>
            </w:pPr>
          </w:p>
        </w:tc>
        <w:tc>
          <w:tcPr>
            <w:tcW w:w="640" w:type="dxa"/>
            <w:vAlign w:val="bottom"/>
          </w:tcPr>
          <w:p>
            <w:pPr>
              <w:jc w:val="right"/>
              <w:ind w:right="1"/>
              <w:spacing w:after="0" w:line="162" w:lineRule="exact"/>
              <w:rPr>
                <w:sz w:val="20"/>
                <w:szCs w:val="20"/>
                <w:color w:val="auto"/>
              </w:rPr>
            </w:pPr>
            <w:r>
              <w:rPr>
                <w:rFonts w:ascii="Arial" w:cs="Arial" w:eastAsia="Arial" w:hAnsi="Arial"/>
                <w:sz w:val="16"/>
                <w:szCs w:val="16"/>
                <w:color w:val="auto"/>
              </w:rPr>
              <w:t>2,276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Arial" w:cs="Arial" w:eastAsia="Arial" w:hAnsi="Arial"/>
                <w:sz w:val="16"/>
                <w:szCs w:val="16"/>
                <w:color w:val="auto"/>
              </w:rPr>
              <w:t>2,527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
              <w:spacing w:after="0" w:line="162" w:lineRule="exact"/>
              <w:rPr>
                <w:sz w:val="20"/>
                <w:szCs w:val="20"/>
                <w:color w:val="auto"/>
              </w:rPr>
            </w:pPr>
            <w:r>
              <w:rPr>
                <w:rFonts w:ascii="Arial" w:cs="Arial" w:eastAsia="Arial" w:hAnsi="Arial"/>
                <w:sz w:val="16"/>
                <w:szCs w:val="16"/>
                <w:color w:val="auto"/>
              </w:rPr>
              <w:t>9,706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
              <w:spacing w:after="0" w:line="162" w:lineRule="exact"/>
              <w:rPr>
                <w:sz w:val="20"/>
                <w:szCs w:val="20"/>
                <w:color w:val="auto"/>
              </w:rPr>
            </w:pPr>
            <w:r>
              <w:rPr>
                <w:rFonts w:ascii="Arial" w:cs="Arial" w:eastAsia="Arial" w:hAnsi="Arial"/>
                <w:sz w:val="16"/>
                <w:szCs w:val="16"/>
                <w:color w:val="auto"/>
              </w:rPr>
              <w:t>10,030</w:t>
            </w:r>
          </w:p>
        </w:tc>
      </w:tr>
      <w:tr>
        <w:trPr>
          <w:trHeight w:val="220"/>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39,045</w:t>
            </w:r>
          </w:p>
        </w:tc>
      </w:tr>
      <w:tr>
        <w:trPr>
          <w:trHeight w:val="212"/>
        </w:trPr>
        <w:tc>
          <w:tcPr>
            <w:tcW w:w="4360" w:type="dxa"/>
            <w:vAlign w:val="bottom"/>
          </w:tcPr>
          <w:p>
            <w:pPr>
              <w:ind w:left="240"/>
              <w:spacing w:after="0"/>
              <w:rPr>
                <w:sz w:val="20"/>
                <w:szCs w:val="20"/>
                <w:color w:val="auto"/>
              </w:rPr>
            </w:pPr>
            <w:r>
              <w:rPr>
                <w:rFonts w:ascii="Arial" w:cs="Arial" w:eastAsia="Arial" w:hAnsi="Arial"/>
                <w:sz w:val="16"/>
                <w:szCs w:val="16"/>
                <w:color w:val="auto"/>
              </w:rPr>
              <w:t>Litigation Expense</w:t>
            </w:r>
          </w:p>
        </w:tc>
        <w:tc>
          <w:tcPr>
            <w:tcW w:w="1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4,083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10,407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4,602</w:t>
            </w:r>
          </w:p>
        </w:tc>
      </w:tr>
      <w:tr>
        <w:trPr>
          <w:trHeight w:val="220"/>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JPI Amortization</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15,795</w:t>
            </w:r>
          </w:p>
        </w:tc>
      </w:tr>
      <w:tr>
        <w:trPr>
          <w:trHeight w:val="212"/>
        </w:trPr>
        <w:tc>
          <w:tcPr>
            <w:tcW w:w="4360" w:type="dxa"/>
            <w:vAlign w:val="bottom"/>
          </w:tcPr>
          <w:p>
            <w:pPr>
              <w:ind w:left="240"/>
              <w:spacing w:after="0"/>
              <w:rPr>
                <w:sz w:val="20"/>
                <w:szCs w:val="20"/>
                <w:color w:val="auto"/>
              </w:rPr>
            </w:pPr>
            <w:r>
              <w:rPr>
                <w:rFonts w:ascii="Arial" w:cs="Arial" w:eastAsia="Arial" w:hAnsi="Arial"/>
                <w:sz w:val="16"/>
                <w:szCs w:val="16"/>
                <w:color w:val="auto"/>
              </w:rPr>
              <w:t>Severance Costs</w:t>
            </w:r>
          </w:p>
        </w:tc>
        <w:tc>
          <w:tcPr>
            <w:tcW w:w="1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5,534</w:t>
            </w:r>
          </w:p>
        </w:tc>
      </w:tr>
      <w:tr>
        <w:trPr>
          <w:trHeight w:val="216"/>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Impairment and Lease-Related Charges</w:t>
            </w:r>
          </w:p>
        </w:tc>
        <w:tc>
          <w:tcPr>
            <w:tcW w:w="1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2,032</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6,104</w:t>
            </w: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116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19,691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76,802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20,257</w:t>
            </w:r>
          </w:p>
        </w:tc>
      </w:tr>
      <w:tr>
        <w:trPr>
          <w:trHeight w:val="20"/>
        </w:trPr>
        <w:tc>
          <w:tcPr>
            <w:tcW w:w="4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2026-02-19T06:36:10Z</dcterms:created>
  <dcterms:modified xsi:type="dcterms:W3CDTF">2026-02-19T06:36:10Z</dcterms:modified>
</cp:coreProperties>
</file>