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ahoma;sans-serif" w:hAnsi="Tahoma;sans-serif"/>
          <w:b/>
          <w:color w:val="000000"/>
          <w:sz w:val="34"/>
        </w:rPr>
        <w:t>UNITED STATES</w:t>
      </w:r>
    </w:p>
    <w:p>
      <w:pPr>
        <w:pStyle w:val="TextBody"/>
        <w:bidi w:val="0"/>
        <w:spacing w:lineRule="auto" w:line="288" w:before="0" w:after="0"/>
        <w:jc w:val="center"/>
        <w:rPr>
          <w:rFonts w:ascii="Tahoma;sans-serif" w:hAnsi="Tahoma;sans-serif"/>
          <w:b/>
          <w:color w:val="000000"/>
          <w:sz w:val="34"/>
        </w:rPr>
      </w:pPr>
      <w:r>
        <w:rPr>
          <w:rFonts w:ascii="Tahoma;sans-serif" w:hAnsi="Tahoma;sans-serif"/>
          <w:b/>
          <w:color w:val="000000"/>
          <w:sz w:val="34"/>
        </w:rPr>
        <w:t>SECURITIES AND EXCHANGE COMMISSION</w:t>
      </w:r>
    </w:p>
    <w:p>
      <w:pPr>
        <w:pStyle w:val="TextBody"/>
        <w:bidi w:val="0"/>
        <w:spacing w:lineRule="auto" w:line="288" w:before="0" w:after="0"/>
        <w:jc w:val="center"/>
        <w:rPr>
          <w:rFonts w:ascii="Tahoma;sans-serif" w:hAnsi="Tahoma;sans-serif"/>
          <w:b/>
          <w:color w:val="000000"/>
          <w:sz w:val="22"/>
        </w:rPr>
      </w:pPr>
      <w:r>
        <w:rPr>
          <w:rFonts w:ascii="Tahoma;sans-serif" w:hAnsi="Tahoma;sans-serif"/>
          <w:b/>
          <w:color w:val="000000"/>
          <w:sz w:val="22"/>
        </w:rPr>
        <w:t xml:space="preserve">WASHINGTON, D.C. 20549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ahoma;sans-serif" w:hAnsi="Tahoma;sans-serif"/>
          <w:b/>
          <w:color w:val="000000"/>
          <w:sz w:val="34"/>
        </w:rPr>
      </w:pPr>
      <w:r>
        <w:rPr>
          <w:rFonts w:ascii="Tahoma;sans-serif" w:hAnsi="Tahoma;sans-serif"/>
          <w:b/>
          <w:color w:val="000000"/>
          <w:sz w:val="34"/>
        </w:rPr>
        <w:t xml:space="preserve">FORM 8-K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ahoma;sans-serif" w:hAnsi="Tahoma;sans-serif"/>
          <w:b/>
          <w:color w:val="000000"/>
          <w:sz w:val="22"/>
        </w:rPr>
      </w:pPr>
      <w:r>
        <w:rPr>
          <w:rFonts w:ascii="Tahoma;sans-serif" w:hAnsi="Tahoma;sans-serif"/>
          <w:b/>
          <w:color w:val="000000"/>
          <w:sz w:val="22"/>
        </w:rPr>
        <w:t xml:space="preserve">CURRENT REPORT </w:t>
      </w:r>
    </w:p>
    <w:p>
      <w:pPr>
        <w:pStyle w:val="TextBody"/>
        <w:bidi w:val="0"/>
        <w:spacing w:lineRule="auto" w:line="288" w:before="120" w:after="283"/>
        <w:jc w:val="center"/>
        <w:rPr>
          <w:rFonts w:ascii="Tahoma;sans-serif" w:hAnsi="Tahoma;sans-serif"/>
          <w:b/>
          <w:color w:val="000000"/>
          <w:sz w:val="22"/>
        </w:rPr>
      </w:pPr>
      <w:r>
        <w:rPr>
          <w:rFonts w:ascii="Tahoma;sans-serif" w:hAnsi="Tahoma;sans-serif"/>
          <w:b/>
          <w:color w:val="000000"/>
          <w:sz w:val="22"/>
        </w:rPr>
        <w:t xml:space="preserve">Pursuant to Section 13 or 15(d) of the Securities Exchange Act of 1934 </w:t>
      </w:r>
    </w:p>
    <w:p>
      <w:pPr>
        <w:pStyle w:val="TextBody"/>
        <w:bidi w:val="0"/>
        <w:spacing w:lineRule="auto" w:line="288" w:before="180" w:after="283"/>
        <w:jc w:val="center"/>
        <w:rPr>
          <w:rFonts w:ascii="Tahoma;sans-serif" w:hAnsi="Tahoma;sans-serif"/>
          <w:b/>
          <w:color w:val="000000"/>
          <w:sz w:val="18"/>
        </w:rPr>
      </w:pPr>
      <w:r>
        <w:rPr>
          <w:rFonts w:ascii="Tahoma;sans-serif" w:hAnsi="Tahoma;sans-serif"/>
          <w:b/>
          <w:color w:val="000000"/>
          <w:sz w:val="18"/>
        </w:rPr>
        <w:t>Date of Report (Date of earliest event reported): August 6, 2026</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ahoma;sans-serif" w:hAnsi="Tahoma;sans-serif"/>
          <w:b/>
          <w:color w:val="000000"/>
          <w:sz w:val="44"/>
        </w:rPr>
      </w:pPr>
      <w:r>
        <w:rPr>
          <w:rFonts w:ascii="Tahoma;sans-serif" w:hAnsi="Tahoma;sans-serif"/>
          <w:b/>
          <w:color w:val="000000"/>
          <w:sz w:val="44"/>
        </w:rPr>
        <w:t xml:space="preserve">Appian Corporation </w:t>
      </w:r>
    </w:p>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 xml:space="preserve">(Exact name of Registrant as Specified in Its Charter)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53" w:type="dxa"/>
        <w:jc w:val="center"/>
        <w:tblInd w:w="0" w:type="dxa"/>
        <w:tblLayout w:type="fixed"/>
        <w:tblCellMar>
          <w:top w:w="28" w:type="dxa"/>
          <w:left w:w="28" w:type="dxa"/>
          <w:bottom w:w="28" w:type="dxa"/>
          <w:right w:w="28" w:type="dxa"/>
        </w:tblCellMar>
      </w:tblPr>
      <w:tblGrid>
        <w:gridCol w:w="548"/>
        <w:gridCol w:w="481"/>
        <w:gridCol w:w="481"/>
        <w:gridCol w:w="481"/>
        <w:gridCol w:w="481"/>
        <w:gridCol w:w="498"/>
        <w:gridCol w:w="677"/>
        <w:gridCol w:w="677"/>
        <w:gridCol w:w="685"/>
        <w:gridCol w:w="451"/>
        <w:gridCol w:w="451"/>
        <w:gridCol w:w="642"/>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297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color w:val="000000"/>
                <w:sz w:val="20"/>
              </w:rPr>
            </w:pPr>
            <w:r>
              <w:rPr>
                <w:rFonts w:ascii="Tahoma;sans-serif" w:hAnsi="Tahoma;sans-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color w:val="000000"/>
                <w:sz w:val="20"/>
              </w:rPr>
            </w:pPr>
            <w:r>
              <w:rPr>
                <w:rFonts w:ascii="Tahoma;sans-serif" w:hAnsi="Tahoma;sans-serif"/>
                <w:b/>
                <w:color w:val="000000"/>
                <w:sz w:val="20"/>
              </w:rPr>
              <w:t>001-38098</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color w:val="000000"/>
                <w:sz w:val="20"/>
              </w:rPr>
            </w:pPr>
            <w:r>
              <w:rPr>
                <w:rFonts w:ascii="Tahoma;sans-serif" w:hAnsi="Tahoma;sans-serif"/>
                <w:b/>
                <w:color w:val="000000"/>
                <w:sz w:val="20"/>
              </w:rPr>
              <w:t>54-1956084</w:t>
            </w:r>
          </w:p>
        </w:tc>
      </w:tr>
      <w:tr>
        <w:trPr/>
        <w:tc>
          <w:tcPr>
            <w:tcW w:w="2970"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ahoma;sans-serif" w:hAnsi="Tahoma;sans-serif"/>
                <w:b/>
                <w:color w:val="000000"/>
                <w:sz w:val="16"/>
              </w:rPr>
            </w:pPr>
            <w:r>
              <w:rPr>
                <w:rFonts w:ascii="Tahoma;sans-serif" w:hAnsi="Tahoma;sans-serif"/>
                <w:b/>
                <w:color w:val="000000"/>
                <w:sz w:val="16"/>
              </w:rPr>
              <w:t>(State or Other Jurisdiction</w:t>
            </w:r>
          </w:p>
          <w:p>
            <w:pPr>
              <w:pStyle w:val="TableContents"/>
              <w:bidi w:val="0"/>
              <w:spacing w:lineRule="auto" w:line="288" w:before="0" w:after="0"/>
              <w:jc w:val="center"/>
              <w:rPr>
                <w:rFonts w:ascii="Tahoma;sans-serif" w:hAnsi="Tahoma;sans-serif"/>
                <w:b/>
                <w:color w:val="000000"/>
                <w:sz w:val="16"/>
              </w:rPr>
            </w:pPr>
            <w:r>
              <w:rPr>
                <w:rFonts w:ascii="Tahoma;sans-serif" w:hAnsi="Tahoma;sans-serif"/>
                <w:b/>
                <w:color w:val="000000"/>
                <w:sz w:val="16"/>
              </w:rP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color w:val="000000"/>
                <w:sz w:val="16"/>
              </w:rPr>
            </w:pPr>
            <w:r>
              <w:rPr>
                <w:rFonts w:ascii="Tahoma;sans-serif" w:hAnsi="Tahoma;sans-serif"/>
                <w:b/>
                <w:color w:val="000000"/>
                <w:sz w:val="16"/>
              </w:rPr>
              <w:t>(Commission File Number)</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ahoma;sans-serif" w:hAnsi="Tahoma;sans-serif"/>
                <w:b/>
                <w:color w:val="000000"/>
                <w:sz w:val="16"/>
              </w:rPr>
            </w:pPr>
            <w:r>
              <w:rPr>
                <w:rFonts w:ascii="Tahoma;sans-serif" w:hAnsi="Tahoma;sans-serif"/>
                <w:b/>
                <w:color w:val="000000"/>
                <w:sz w:val="16"/>
              </w:rPr>
              <w:t>(I.R.S. Employer</w:t>
            </w:r>
          </w:p>
          <w:p>
            <w:pPr>
              <w:pStyle w:val="TableContents"/>
              <w:bidi w:val="0"/>
              <w:spacing w:lineRule="auto" w:line="288" w:before="0" w:after="0"/>
              <w:jc w:val="center"/>
              <w:rPr>
                <w:color w:val="000000"/>
              </w:rPr>
            </w:pPr>
            <w:r>
              <w:rPr>
                <w:color w:val="000000"/>
              </w:rPr>
              <w:t> </w:t>
            </w:r>
            <w:r>
              <w:rPr>
                <w:rFonts w:ascii="Tahoma;sans-serif" w:hAnsi="Tahoma;sans-serif"/>
                <w:b/>
                <w:color w:val="000000"/>
                <w:sz w:val="16"/>
              </w:rPr>
              <w:t>Identification No.)</w:t>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ahoma;sans-serif" w:hAnsi="Tahoma;sans-serif"/>
                <w:b/>
                <w:color w:val="000000"/>
                <w:sz w:val="20"/>
              </w:rPr>
            </w:pPr>
            <w:r>
              <w:rPr>
                <w:rFonts w:ascii="Tahoma;sans-serif" w:hAnsi="Tahoma;sans-serif"/>
                <w:b/>
                <w:color w:val="000000"/>
                <w:sz w:val="20"/>
              </w:rPr>
              <w:t>7950 Jones Branch Drive</w:t>
            </w:r>
          </w:p>
          <w:p>
            <w:pPr>
              <w:pStyle w:val="TableContents"/>
              <w:bidi w:val="0"/>
              <w:spacing w:lineRule="auto" w:line="288" w:before="0" w:after="0"/>
              <w:jc w:val="center"/>
              <w:rPr>
                <w:rFonts w:ascii="Tahoma;sans-serif" w:hAnsi="Tahoma;sans-serif"/>
                <w:b/>
                <w:color w:val="000000"/>
                <w:sz w:val="20"/>
              </w:rPr>
            </w:pPr>
            <w:r>
              <w:rPr>
                <w:rFonts w:ascii="Tahoma;sans-serif" w:hAnsi="Tahoma;sans-serif"/>
                <w:b/>
                <w:color w:val="000000"/>
                <w:sz w:val="20"/>
              </w:rPr>
              <w:t>McLean, VA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color w:val="000000"/>
                <w:sz w:val="20"/>
              </w:rPr>
            </w:pPr>
            <w:r>
              <w:rPr>
                <w:rFonts w:ascii="Tahoma;sans-serif" w:hAnsi="Tahoma;sans-serif"/>
                <w:b/>
                <w:color w:val="000000"/>
                <w:sz w:val="20"/>
              </w:rPr>
              <w:t>22102</w:t>
            </w:r>
          </w:p>
        </w:tc>
      </w:tr>
      <w:tr>
        <w:trPr/>
        <w:tc>
          <w:tcPr>
            <w:tcW w:w="297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color w:val="000000"/>
                <w:sz w:val="16"/>
              </w:rPr>
            </w:pPr>
            <w:r>
              <w:rPr>
                <w:rFonts w:ascii="Tahoma;sans-serif" w:hAnsi="Tahoma;sans-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color w:val="000000"/>
                <w:sz w:val="16"/>
              </w:rPr>
            </w:pPr>
            <w:r>
              <w:rPr>
                <w:rFonts w:ascii="Tahoma;sans-serif" w:hAnsi="Tahoma;sans-serif"/>
                <w:b/>
                <w:color w:val="000000"/>
                <w:sz w:val="16"/>
              </w:rPr>
              <w:t>(Zip Code)</w:t>
            </w:r>
          </w:p>
        </w:tc>
      </w:tr>
    </w:tbl>
    <w:p>
      <w:pPr>
        <w:pStyle w:val="TextBody"/>
        <w:bidi w:val="0"/>
        <w:spacing w:lineRule="auto" w:line="288" w:before="80" w:after="283"/>
        <w:jc w:val="center"/>
        <w:rPr>
          <w:rFonts w:ascii="Tahoma;sans-serif" w:hAnsi="Tahoma;sans-serif"/>
          <w:b/>
          <w:color w:val="000000"/>
          <w:sz w:val="18"/>
        </w:rPr>
      </w:pPr>
      <w:r>
        <w:rPr>
          <w:rFonts w:ascii="Tahoma;sans-serif" w:hAnsi="Tahoma;sans-serif"/>
          <w:b/>
          <w:color w:val="000000"/>
          <w:sz w:val="18"/>
        </w:rPr>
        <w:t xml:space="preserve">Registrant’s Telephone Number, Including Area Code: (703) 442-8844 </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color w:val="000000"/>
          <w:sz w:val="18"/>
        </w:rPr>
      </w:pPr>
      <w:r>
        <w:rPr>
          <w:rFonts w:ascii="Tahoma;sans-serif" w:hAnsi="Tahoma;sans-serif"/>
          <w:b/>
          <w:color w:val="000000"/>
          <w:sz w:val="18"/>
        </w:rPr>
        <w:t>Not Applicable</w:t>
      </w:r>
    </w:p>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(Former Name or Former Address, if Changed Since Last Report)</w:t>
      </w:r>
    </w:p>
    <w:p>
      <w:pPr>
        <w:pStyle w:val="TextBody"/>
        <w:bidi w:val="0"/>
        <w:spacing w:before="0" w:after="0"/>
        <w:jc w:val="center"/>
        <w:rPr/>
      </w:pPr>
      <w:r>
        <w:rPr/>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lineRule="auto" w:line="288" w:before="180" w:after="283"/>
        <w:ind w:left="0" w:right="0" w:hanging="500"/>
        <w:jc w:val="left"/>
        <w:rPr>
          <w:color w:val="000000"/>
        </w:rPr>
      </w:pPr>
      <w:r>
        <w:rPr>
          <w:color w:val="000000"/>
        </w:rPr>
        <w:t>☐    </w:t>
      </w:r>
      <w:r>
        <w:rPr>
          <w:rFonts w:ascii="Tahoma;sans-serif" w:hAnsi="Tahoma;sans-serif"/>
          <w:b w:val="false"/>
          <w:color w:val="000000"/>
          <w:sz w:val="18"/>
        </w:rPr>
        <w:t xml:space="preserve">Written communications pursuant to Rule 425 under the Securities Act (17 CFR 230.425) </w:t>
      </w:r>
    </w:p>
    <w:p>
      <w:pPr>
        <w:pStyle w:val="TextBody"/>
        <w:bidi w:val="0"/>
        <w:spacing w:lineRule="auto" w:line="288" w:before="180" w:after="283"/>
        <w:ind w:left="0" w:right="0" w:hanging="500"/>
        <w:jc w:val="left"/>
        <w:rPr/>
      </w:pPr>
      <w:r>
        <w:rPr>
          <w:color w:val="000000"/>
        </w:rPr>
        <w:t>☐    </w:t>
      </w:r>
      <w:r>
        <w:rPr>
          <w:rFonts w:ascii="Tahoma;sans-serif" w:hAnsi="Tahoma;sans-serif"/>
          <w:b w:val="false"/>
          <w:color w:val="000000"/>
          <w:sz w:val="18"/>
        </w:rPr>
        <w:t xml:space="preserve">Soliciting material pursuant to Rule 14a-12 under the Exchange Act (17 CFR 240.14a-12) </w:t>
      </w:r>
    </w:p>
    <w:p>
      <w:pPr>
        <w:pStyle w:val="TextBody"/>
        <w:bidi w:val="0"/>
        <w:spacing w:lineRule="auto" w:line="288" w:before="120" w:after="283"/>
        <w:ind w:left="0" w:right="0" w:hanging="500"/>
        <w:jc w:val="left"/>
        <w:rPr/>
      </w:pPr>
      <w:r>
        <w:rPr>
          <w:color w:val="000000"/>
        </w:rPr>
        <w:t>☐    </w:t>
      </w:r>
      <w:r>
        <w:rPr>
          <w:rFonts w:ascii="Tahoma;sans-serif" w:hAnsi="Tahoma;sans-serif"/>
          <w:b w:val="false"/>
          <w:color w:val="000000"/>
          <w:sz w:val="18"/>
        </w:rPr>
        <w:t xml:space="preserve">Pre-commencement communications pursuant to Rule 14d-2(b) under the Exchange Act (17 CFR 240.14d-2(b)) </w:t>
      </w:r>
    </w:p>
    <w:p>
      <w:pPr>
        <w:pStyle w:val="TextBody"/>
        <w:bidi w:val="0"/>
        <w:spacing w:lineRule="auto" w:line="288" w:before="180" w:after="283"/>
        <w:ind w:left="0" w:right="0" w:hanging="500"/>
        <w:jc w:val="left"/>
        <w:rPr/>
      </w:pPr>
      <w:r>
        <w:rPr>
          <w:color w:val="000000"/>
        </w:rPr>
        <w:t>☐    </w:t>
      </w:r>
      <w:r>
        <w:rPr>
          <w:rFonts w:ascii="Tahoma;sans-serif" w:hAnsi="Tahoma;sans-serif"/>
          <w:b w:val="false"/>
          <w:color w:val="000000"/>
          <w:sz w:val="18"/>
        </w:rPr>
        <w:t xml:space="preserve">Pre-commencement communications pursuant to Rule 13e-4(c) under the Exchange Act (17 CFR 240.13e-4(c)) </w:t>
      </w:r>
    </w:p>
    <w:p>
      <w:pPr>
        <w:pStyle w:val="TextBody"/>
        <w:bidi w:val="0"/>
        <w:spacing w:lineRule="auto" w:line="288" w:before="180" w:after="180"/>
        <w:ind w:left="0" w:right="0" w:hanging="500"/>
        <w:jc w:val="left"/>
        <w:rPr>
          <w:rFonts w:ascii="Tahoma;sans-serif" w:hAnsi="Tahoma;sans-serif"/>
          <w:b w:val="false"/>
          <w:color w:val="000000"/>
          <w:sz w:val="18"/>
        </w:rPr>
      </w:pPr>
      <w:r>
        <w:rPr>
          <w:rFonts w:ascii="Tahoma;sans-serif" w:hAnsi="Tahoma;sans-serif"/>
          <w:b w:val="false"/>
          <w:color w:val="000000"/>
          <w:sz w:val="18"/>
        </w:rPr>
        <w:t>Securities registered pursuant to Section 12(b) of the Exchange Act:</w:t>
      </w:r>
    </w:p>
    <w:tbl>
      <w:tblPr>
        <w:tblW w:w="7542" w:type="dxa"/>
        <w:jc w:val="center"/>
        <w:tblInd w:w="0" w:type="dxa"/>
        <w:tblLayout w:type="fixed"/>
        <w:tblCellMar>
          <w:top w:w="28" w:type="dxa"/>
          <w:left w:w="28" w:type="dxa"/>
          <w:bottom w:w="28" w:type="dxa"/>
          <w:right w:w="28" w:type="dxa"/>
        </w:tblCellMar>
      </w:tblPr>
      <w:tblGrid>
        <w:gridCol w:w="755"/>
        <w:gridCol w:w="663"/>
        <w:gridCol w:w="666"/>
        <w:gridCol w:w="474"/>
        <w:gridCol w:w="474"/>
        <w:gridCol w:w="476"/>
        <w:gridCol w:w="1181"/>
        <w:gridCol w:w="1181"/>
        <w:gridCol w:w="1672"/>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val="false"/>
                <w:color w:val="000000"/>
                <w:sz w:val="20"/>
                <w:u w:val="single"/>
              </w:rPr>
            </w:pPr>
            <w:r>
              <w:rPr>
                <w:rFonts w:ascii="Tahoma;sans-serif" w:hAnsi="Tahoma;sans-serif"/>
                <w:b w:val="false"/>
                <w:color w:val="000000"/>
                <w:sz w:val="20"/>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val="false"/>
                <w:color w:val="000000"/>
                <w:sz w:val="20"/>
                <w:u w:val="single"/>
              </w:rPr>
            </w:pPr>
            <w:r>
              <w:rPr>
                <w:rFonts w:ascii="Tahoma;sans-serif" w:hAnsi="Tahoma;sans-serif"/>
                <w:b w:val="false"/>
                <w:color w:val="000000"/>
                <w:sz w:val="20"/>
                <w:u w:val="single"/>
              </w:rPr>
              <w:t>Trading symbol</w:t>
            </w:r>
          </w:p>
        </w:tc>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val="false"/>
                <w:color w:val="000000"/>
                <w:sz w:val="20"/>
                <w:u w:val="single"/>
              </w:rPr>
            </w:pPr>
            <w:r>
              <w:rPr>
                <w:rFonts w:ascii="Tahoma;sans-serif" w:hAnsi="Tahoma;sans-serif"/>
                <w:b w:val="false"/>
                <w:color w:val="000000"/>
                <w:sz w:val="20"/>
                <w:u w:val="single"/>
              </w:rPr>
              <w:t xml:space="preserve">Name of each exchange on which registered </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val="false"/>
                <w:color w:val="000000"/>
                <w:sz w:val="20"/>
              </w:rPr>
            </w:pPr>
            <w:r>
              <w:rPr>
                <w:rFonts w:ascii="Tahoma;sans-serif" w:hAnsi="Tahoma;sans-serif"/>
                <w:b w:val="false"/>
                <w:color w:val="000000"/>
                <w:sz w:val="20"/>
              </w:rPr>
              <w:t>Class A Common Stock</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val="false"/>
                <w:color w:val="000000"/>
                <w:sz w:val="20"/>
              </w:rPr>
            </w:pPr>
            <w:r>
              <w:rPr>
                <w:rFonts w:ascii="Tahoma;sans-serif" w:hAnsi="Tahoma;sans-serif"/>
                <w:b w:val="false"/>
                <w:color w:val="000000"/>
                <w:sz w:val="20"/>
              </w:rPr>
              <w:t>APPN</w:t>
            </w:r>
          </w:p>
        </w:tc>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val="false"/>
                <w:color w:val="000000"/>
                <w:sz w:val="20"/>
              </w:rPr>
            </w:pPr>
            <w:r>
              <w:rPr>
                <w:rFonts w:ascii="Tahoma;sans-serif" w:hAnsi="Tahoma;sans-serif"/>
                <w:b w:val="false"/>
                <w:color w:val="000000"/>
                <w:sz w:val="20"/>
              </w:rPr>
              <w:t>The Nasdaq Stock Market LLC</w:t>
            </w:r>
          </w:p>
        </w:tc>
      </w:tr>
    </w:tbl>
    <w:p>
      <w:pPr>
        <w:pStyle w:val="TextBody"/>
        <w:bidi w:val="0"/>
        <w:spacing w:lineRule="auto" w:line="288" w:before="20" w:after="283"/>
        <w:jc w:val="left"/>
        <w:rPr>
          <w:rFonts w:ascii="Tahoma;sans-serif" w:hAnsi="Tahoma;sans-serif"/>
          <w:b w:val="false"/>
          <w:color w:val="000000"/>
          <w:sz w:val="18"/>
        </w:rPr>
      </w:pPr>
      <w:r>
        <w:rPr>
          <w:rFonts w:ascii="Tahoma;sans-serif" w:hAnsi="Tahoma;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80" w:after="283"/>
        <w:jc w:val="left"/>
        <w:rPr/>
      </w:pPr>
      <w:r>
        <w:rPr>
          <w:rFonts w:ascii="Tahoma;sans-serif" w:hAnsi="Tahoma;sans-serif"/>
          <w:b w:val="false"/>
          <w:color w:val="000000"/>
          <w:sz w:val="18"/>
        </w:rPr>
        <w:t>Emerging growth company</w:t>
      </w:r>
      <w:r>
        <w:rPr>
          <w:color w:val="000000"/>
        </w:rPr>
        <w:t> ☐  </w:t>
      </w:r>
    </w:p>
    <w:p>
      <w:pPr>
        <w:pStyle w:val="TextBody"/>
        <w:bidi w:val="0"/>
        <w:spacing w:lineRule="auto" w:line="288" w:before="180" w:after="283"/>
        <w:jc w:val="left"/>
        <w:rPr/>
      </w:pPr>
      <w:r>
        <w:rPr>
          <w:rFonts w:ascii="Tahoma;sans-serif" w:hAnsi="Tahoma;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b w:val="false"/>
          <w:color w:val="000000"/>
          <w:sz w:val="18"/>
        </w:rPr>
        <w:t xml:space="preserve">. </w:t>
      </w:r>
      <w:r>
        <w:rPr>
          <w:rFonts w:ascii="Wingdings;sans-serif" w:hAnsi="Wingdings;sans-serif"/>
          <w:b w:val="false"/>
          <w:color w:val="000000"/>
          <w:sz w:val="18"/>
        </w:rPr>
        <w:t>o</w:t>
      </w:r>
      <w:r>
        <w:rPr>
          <w:color w:val="000000"/>
        </w:rPr>
        <w:t> </w: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2.02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On August 6, 2026, Appian Corporation (the "Company") issued a press release announcing its financial results for the second quarter ended June 30, 2026, as well as information regarding a conference call to discuss these financial results and the Company's recent business highlights and financial outlook. The Company's press release is furnished as Exhibit 99.1 to this Current Report on Form 8-K.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included in Item 2.02 of this Current Report on Form 8-K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9.01 Financial Statements and Exhibits.</w:t>
      </w:r>
    </w:p>
    <w:tbl>
      <w:tblPr>
        <w:tblW w:w="8246" w:type="dxa"/>
        <w:jc w:val="left"/>
        <w:tblInd w:w="0" w:type="dxa"/>
        <w:tblLayout w:type="fixed"/>
        <w:tblCellMar>
          <w:top w:w="28" w:type="dxa"/>
          <w:left w:w="28" w:type="dxa"/>
          <w:bottom w:w="28" w:type="dxa"/>
          <w:right w:w="28" w:type="dxa"/>
        </w:tblCellMar>
      </w:tblPr>
      <w:tblGrid>
        <w:gridCol w:w="375"/>
        <w:gridCol w:w="329"/>
        <w:gridCol w:w="331"/>
        <w:gridCol w:w="109"/>
        <w:gridCol w:w="109"/>
        <w:gridCol w:w="109"/>
        <w:gridCol w:w="2013"/>
        <w:gridCol w:w="2013"/>
        <w:gridCol w:w="2858"/>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ahoma;sans-serif" w:hAnsi="Tahoma;sans-serif"/>
                <w:b/>
                <w:color w:val="000000"/>
                <w:sz w:val="20"/>
              </w:rPr>
            </w:pPr>
            <w:r>
              <w:rPr>
                <w:rFonts w:ascii="Tahoma;sans-serif" w:hAnsi="Tahoma;sans-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ahoma;sans-serif" w:hAnsi="Tahoma;sans-serif"/>
                <w:b/>
                <w:color w:val="000000"/>
                <w:sz w:val="20"/>
              </w:rPr>
            </w:pPr>
            <w:r>
              <w:rPr>
                <w:rFonts w:ascii="Tahoma;sans-serif" w:hAnsi="Tahoma;sans-serif"/>
                <w:b/>
                <w:color w:val="000000"/>
                <w:sz w:val="20"/>
              </w:rPr>
              <w:t>Description</w:t>
            </w:r>
          </w:p>
        </w:tc>
      </w:tr>
      <w:tr>
        <w:trPr/>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ahoma;sans-serif" w:hAnsi="Tahoma;sans-serif"/>
                <w:b w:val="false"/>
                <w:color w:val="000000"/>
                <w:sz w:val="20"/>
              </w:rPr>
            </w:pPr>
            <w:r>
              <w:rPr>
                <w:rFonts w:ascii="Tahoma;sans-serif" w:hAnsi="Tahoma;sans-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ppnex991earningsrelease-6.htm">
              <w:r>
                <w:rPr>
                  <w:rStyle w:val="InternetLink"/>
                  <w:rFonts w:ascii="Tahoma;sans-serif" w:hAnsi="Tahoma;sans-serif"/>
                  <w:b w:val="false"/>
                  <w:color w:val="0000FF"/>
                  <w:sz w:val="20"/>
                  <w:u w:val="single"/>
                </w:rPr>
                <w:t>Press release dated August 6, 2026</w:t>
              </w:r>
            </w:hyperlink>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ahoma;sans-serif" w:hAnsi="Tahoma;sans-serif"/>
                <w:b w:val="false"/>
                <w:color w:val="000000"/>
                <w:sz w:val="20"/>
              </w:rPr>
            </w:pPr>
            <w:r>
              <w:rPr>
                <w:rFonts w:ascii="Tahoma;sans-serif" w:hAnsi="Tahoma;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ahoma;sans-serif" w:hAnsi="Tahoma;sans-serif"/>
                <w:b w:val="false"/>
                <w:color w:val="000000"/>
                <w:sz w:val="20"/>
              </w:rPr>
            </w:pPr>
            <w:r>
              <w:rPr>
                <w:rFonts w:ascii="Tahoma;sans-serif" w:hAnsi="Tahoma;sans-serif"/>
                <w:b w:val="false"/>
                <w:color w:val="000000"/>
                <w:sz w:val="20"/>
              </w:rPr>
              <w:t>Cover Page Interactive Data File (embedded within the Inline XBRL document)</w:t>
            </w:r>
          </w:p>
        </w:tc>
      </w:tr>
    </w:tbl>
    <w:p>
      <w:pPr>
        <w:pStyle w:val="TextBody"/>
        <w:bidi w:val="0"/>
        <w:spacing w:before="24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ahoma;sans-serif" w:hAnsi="Tahoma;sans-serif"/>
          <w:b/>
          <w:color w:val="000000"/>
          <w:sz w:val="20"/>
        </w:rPr>
      </w:pPr>
      <w:r>
        <w:rPr>
          <w:rFonts w:ascii="Tahoma;sans-serif" w:hAnsi="Tahoma;sans-serif"/>
          <w:b/>
          <w:color w:val="000000"/>
          <w:sz w:val="20"/>
        </w:rPr>
        <w:t>SIGNATURES</w:t>
      </w:r>
    </w:p>
    <w:p>
      <w:pPr>
        <w:pStyle w:val="TextBody"/>
        <w:bidi w:val="0"/>
        <w:spacing w:lineRule="auto" w:line="333" w:before="240" w:after="283"/>
        <w:jc w:val="left"/>
        <w:rPr>
          <w:rFonts w:ascii="Tahoma;sans-serif" w:hAnsi="Tahoma;sans-serif"/>
          <w:b w:val="false"/>
          <w:color w:val="000000"/>
          <w:sz w:val="20"/>
        </w:rPr>
      </w:pPr>
      <w:r>
        <w:rPr>
          <w:rFonts w:ascii="Tahoma;sans-serif" w:hAnsi="Tahoma;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142" w:type="dxa"/>
        <w:jc w:val="left"/>
        <w:tblInd w:w="0" w:type="dxa"/>
        <w:tblLayout w:type="fixed"/>
        <w:tblCellMar>
          <w:top w:w="28" w:type="dxa"/>
          <w:left w:w="28" w:type="dxa"/>
          <w:bottom w:w="28" w:type="dxa"/>
          <w:right w:w="28" w:type="dxa"/>
        </w:tblCellMar>
      </w:tblPr>
      <w:tblGrid>
        <w:gridCol w:w="704"/>
        <w:gridCol w:w="620"/>
        <w:gridCol w:w="626"/>
        <w:gridCol w:w="109"/>
        <w:gridCol w:w="109"/>
        <w:gridCol w:w="109"/>
        <w:gridCol w:w="280"/>
        <w:gridCol w:w="280"/>
        <w:gridCol w:w="280"/>
        <w:gridCol w:w="590"/>
        <w:gridCol w:w="590"/>
        <w:gridCol w:w="845"/>
      </w:tblGrid>
      <w:tr>
        <w:trPr/>
        <w:tc>
          <w:tcPr>
            <w:tcW w:w="70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ahoma;sans-serif" w:hAnsi="Tahoma;sans-serif"/>
                <w:b/>
                <w:color w:val="000000"/>
                <w:sz w:val="20"/>
              </w:rPr>
            </w:pPr>
            <w:r>
              <w:rPr>
                <w:rFonts w:ascii="Tahoma;sans-serif" w:hAnsi="Tahoma;sans-serif"/>
                <w:b/>
                <w:color w:val="000000"/>
                <w:sz w:val="20"/>
              </w:rPr>
              <w:t>Appian Corporation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ahoma;sans-serif" w:hAnsi="Tahoma;sans-serif"/>
                <w:b w:val="false"/>
                <w:color w:val="000000"/>
                <w:sz w:val="20"/>
              </w:rPr>
            </w:pPr>
            <w:r>
              <w:rPr>
                <w:rFonts w:ascii="Tahoma;sans-serif" w:hAnsi="Tahoma;sans-serif"/>
                <w:b w:val="false"/>
                <w:color w:val="000000"/>
                <w:sz w:val="20"/>
              </w:rPr>
              <w:t>By:</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val="false"/>
                <w:color w:val="000000"/>
                <w:sz w:val="20"/>
              </w:rPr>
            </w:pPr>
            <w:r>
              <w:rPr>
                <w:rFonts w:ascii="Tahoma;sans-serif" w:hAnsi="Tahoma;sans-serif"/>
                <w:b w:val="false"/>
                <w:color w:val="000000"/>
                <w:sz w:val="20"/>
              </w:rPr>
              <w:t>/s/ Srdjan Tanjga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ahoma;sans-serif" w:hAnsi="Tahoma;sans-serif"/>
                <w:b/>
                <w:color w:val="000000"/>
                <w:sz w:val="20"/>
              </w:rPr>
            </w:pPr>
            <w:r>
              <w:rPr>
                <w:rFonts w:ascii="Tahoma;sans-serif" w:hAnsi="Tahoma;sans-serif"/>
                <w:b/>
                <w:color w:val="000000"/>
                <w:sz w:val="20"/>
              </w:rPr>
              <w:t>Srdjan Tanjga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ahoma;sans-serif" w:hAnsi="Tahoma;sans-serif"/>
                <w:b/>
                <w:color w:val="000000"/>
                <w:sz w:val="20"/>
              </w:rPr>
            </w:pPr>
            <w:r>
              <w:rPr>
                <w:rFonts w:ascii="Tahoma;sans-serif" w:hAnsi="Tahoma;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ahoma;sans-serif" w:hAnsi="Tahoma;sans-serif"/>
          <w:b/>
          <w:color w:val="000000"/>
          <w:sz w:val="20"/>
        </w:rPr>
      </w:pPr>
      <w:r>
        <w:rPr>
          <w:rFonts w:ascii="Tahoma;sans-serif" w:hAnsi="Tahoma;sans-serif"/>
          <w:b/>
          <w:color w:val="000000"/>
          <w:sz w:val="20"/>
        </w:rPr>
        <w:t>Exhibit 99.1</w:t>
      </w:r>
    </w:p>
    <w:p>
      <w:pPr>
        <w:pStyle w:val="TextBody"/>
        <w:bidi w:val="0"/>
        <w:spacing w:before="0" w:after="0"/>
        <w:jc w:val="left"/>
        <w:rPr/>
      </w:pPr>
      <w:r>
        <w:rPr/>
        <w:drawing>
          <wp:inline distT="0" distB="0" distL="0" distR="0">
            <wp:extent cx="1905000" cy="1066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10668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8"/>
        </w:rPr>
      </w:pPr>
      <w:r>
        <w:rPr>
          <w:rFonts w:ascii="Tahoma;sans-serif" w:hAnsi="Tahoma;sans-serif"/>
          <w:b/>
          <w:color w:val="000000"/>
          <w:sz w:val="28"/>
        </w:rPr>
        <w:t>Appian Announces Second Quarter 2026 Financial Results</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color w:val="000000"/>
          <w:sz w:val="24"/>
        </w:rPr>
      </w:pPr>
      <w:r>
        <w:rPr>
          <w:rFonts w:ascii="Tahoma;sans-serif" w:hAnsi="Tahoma;sans-serif"/>
          <w:b w:val="false"/>
          <w:color w:val="000000"/>
          <w:sz w:val="24"/>
        </w:rPr>
        <w:t>Cloud subscriptions revenue increased 23% year-over-year to $131.7 million.</w:t>
      </w:r>
    </w:p>
    <w:p>
      <w:pPr>
        <w:pStyle w:val="TextBody"/>
        <w:bidi w:val="0"/>
        <w:spacing w:before="0" w:after="0"/>
        <w:jc w:val="center"/>
        <w:rPr/>
      </w:pPr>
      <w:r>
        <w:rPr/>
      </w:r>
    </w:p>
    <w:p>
      <w:pPr>
        <w:pStyle w:val="TextBody"/>
        <w:bidi w:val="0"/>
        <w:spacing w:lineRule="auto" w:line="288" w:before="0" w:after="0"/>
        <w:jc w:val="left"/>
        <w:rPr/>
      </w:pPr>
      <w:r>
        <w:rPr>
          <w:rFonts w:ascii="Tahoma;sans-serif" w:hAnsi="Tahoma;sans-serif"/>
          <w:b/>
          <w:color w:val="000000"/>
          <w:sz w:val="20"/>
        </w:rPr>
        <w:t xml:space="preserve">McLean, VA – August 6, 2026 </w:t>
      </w:r>
      <w:r>
        <w:rPr>
          <w:color w:val="000000"/>
        </w:rPr>
        <w:t xml:space="preserve">– </w:t>
      </w:r>
      <w:r>
        <w:rPr>
          <w:rFonts w:ascii="Tahoma;sans-serif" w:hAnsi="Tahoma;sans-serif"/>
          <w:b w:val="false"/>
          <w:color w:val="000000"/>
          <w:sz w:val="20"/>
        </w:rPr>
        <w:t>Appian (Nasdaq: APPN) today announced financial results for the second quarter ended June 30, 2026.</w:t>
      </w:r>
    </w:p>
    <w:p>
      <w:pPr>
        <w:pStyle w:val="TextBody"/>
        <w:bidi w:val="0"/>
        <w:spacing w:before="0" w:after="0"/>
        <w:jc w:val="both"/>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Second Quarter 2026 Financial Highlights: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Revenue: </w:t>
      </w:r>
      <w:r>
        <w:rPr>
          <w:rFonts w:ascii="Tahoma;sans-serif" w:hAnsi="Tahoma;sans-serif"/>
          <w:b w:val="false"/>
          <w:color w:val="000000"/>
          <w:sz w:val="20"/>
        </w:rPr>
        <w:t>Cloud subscriptions revenue was $131.7 million, up 23% compared to the second quarter of 2025. Total subscriptions revenue increased 19% year-over-year to $157.7 million. Professional services revenue was $45.6 million, an increase of 20% compared to the second quarter of 2025. Total revenue was $203.3 million, up 19% compared to the second quarter of 2025. Cloud net annualized recurring revenue (“ARR”) expansion was 115% as of June 30, 2026.</w:t>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Operating loss and non-GAAP operating income:</w:t>
      </w:r>
      <w:r>
        <w:rPr>
          <w:color w:val="000000"/>
        </w:rPr>
        <w:t xml:space="preserve"> </w:t>
      </w:r>
      <w:r>
        <w:rPr>
          <w:rFonts w:ascii="Tahoma;sans-serif" w:hAnsi="Tahoma;sans-serif"/>
          <w:b w:val="false"/>
          <w:color w:val="000000"/>
          <w:sz w:val="20"/>
        </w:rPr>
        <w:t>GAAP operating loss was $(5.4) million, compared to GAAP operating loss of $(11.0) million for the second quarter of 2025. Non-GAAP operating income was $13.6 million, compared to non-GAAP operating income of $5.6 million for the second quarter of 2025.</w:t>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Net loss and non-GAAP net income: </w:t>
      </w:r>
      <w:r>
        <w:rPr>
          <w:rFonts w:ascii="Tahoma;sans-serif" w:hAnsi="Tahoma;sans-serif"/>
          <w:b w:val="false"/>
          <w:color w:val="000000"/>
          <w:sz w:val="20"/>
        </w:rPr>
        <w:t xml:space="preserve">GAAP net loss was $(11.8) million, compared to $(0.3) million for the second quarter of 2025. GAAP net loss per share was $(0.16) for the second quarter of 2026, compared to breakeven for the second quarter of 2025. Non-GAAP net income was $9.2 million, compared to $0.3 million for the second quarter of 2025. Non-GAAP net income per share was $0.13, compared to breakeven for the second quarter of 2025. </w:t>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Adjusted EBITDA: </w:t>
      </w:r>
      <w:r>
        <w:rPr>
          <w:rFonts w:ascii="Tahoma;sans-serif" w:hAnsi="Tahoma;sans-serif"/>
          <w:b w:val="false"/>
          <w:color w:val="000000"/>
          <w:sz w:val="20"/>
        </w:rPr>
        <w:t>Adjusted EBITDA was $16.2 million, compared to adjusted EBITDA of $8.1 million for the second quarter of 2025.</w:t>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 xml:space="preserve">Cash flows: </w:t>
      </w:r>
      <w:r>
        <w:rPr>
          <w:rFonts w:ascii="Tahoma;sans-serif" w:hAnsi="Tahoma;sans-serif"/>
          <w:b w:val="false"/>
          <w:color w:val="000000"/>
          <w:sz w:val="20"/>
        </w:rPr>
        <w:t>Net cash provided by operating activities was $12.1 million for the three months ended June 30, 2026 compared to $(1.9) million of net cash used by operating activities for the same period in 2025.</w:t>
      </w:r>
    </w:p>
    <w:p>
      <w:pPr>
        <w:pStyle w:val="TextBody"/>
        <w:bidi w:val="0"/>
        <w:spacing w:before="0" w:after="0"/>
        <w:jc w:val="both"/>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 reconciliation of GAAP to non-GAAP financial measures has been provided in the tables following the financial statements in this press release. An explanation of these measures is also included below under the heading “Non-GAAP Financial Measures.”</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Financial Outlook:</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As of August 6, 2026, guidance for 2026 is as follows: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Third Quarter 2026 Guidance:</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Cloud subscriptions revenue is expected to be between $133.0 million and $135.0 million, representing year-over-year growth of 17% to 19%.</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Total revenue is expected to be between $214.0 million and $218.0 million, representing a year-over-year increase of 14% to 17%.</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Adjusted EBITDA is expected to be between $30.0 million and $33.0 million.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Non-GAAP earnings per share is expected to be between $0.31 and $0.35, assuming weighted average common shares outstanding of 72.6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Full Year 2026 Guidance</w:t>
      </w:r>
      <w:r>
        <w:rPr>
          <w:rFonts w:ascii="Tahoma;sans-serif" w:hAnsi="Tahoma;sans-serif"/>
          <w:b w:val="false"/>
          <w:color w:val="000000"/>
          <w:sz w:val="20"/>
        </w:rPr>
        <w:t>:</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Cloud subscriptions revenue is expected to be between $525.0 million and $529.0 million, representing year-over-year growth of 20% to 21%.</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Total revenue is expected to be between $845.0 million and $853.0 million, representing a year-over-year increase of 16% to 17%.</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Adjusted EBITDA is expected to be between $104.0 million and $110.0 million.</w:t>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Non-GAAP earnings per share is expected to be between $1.04 and $1.12, assuming weighted average common shares outstanding of 73.2 million.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Conference Call Details: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Appian will host a conference call today, August 6, 2026, at 8:30 a.m. ET to discuss Appian's financial results for the second quarter ended June 30, 2026 and business outlook.</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20"/>
        </w:rPr>
        <w:t>To access the call, navigate to the following link</w:t>
      </w:r>
      <w:r>
        <w:rPr>
          <w:rFonts w:ascii="Tahoma;sans-serif" w:hAnsi="Tahoma;sans-serif"/>
          <w:b w:val="false"/>
          <w:color w:val="000000"/>
          <w:sz w:val="13"/>
        </w:rPr>
        <w:t>(1)</w:t>
      </w:r>
      <w:r>
        <w:rPr>
          <w:rFonts w:ascii="Tahoma;sans-serif" w:hAnsi="Tahoma;sans-serif"/>
          <w:b w:val="false"/>
          <w:color w:val="000000"/>
          <w:sz w:val="20"/>
        </w:rPr>
        <w:t>. Once registered, participants can dial in using their phone with a dial in and PIN, or they can choose the Call Me option for instant dial to their phone. The live webcast of the conference call can also be accessed on the Investor Relations page of our website at https://investors.appian.com.</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About Appian</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Appian provides process automation technology. We automate complex processes in large enterprises and governments. Our platform is known for its unique reliability and scale. We’ve been automating processes for 25 years and understand enterprise operations like no one else. For more information, visit appian.com. [Nasdaq: APPN]</w:t>
      </w:r>
    </w:p>
    <w:p>
      <w:pPr>
        <w:pStyle w:val="TextBody"/>
        <w:bidi w:val="0"/>
        <w:spacing w:before="0" w:after="0"/>
        <w:jc w:val="both"/>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Non-GAAP Financial Measures</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To supplement its consolidated financial statements, which are prepared and presented in accordance with GAAP, Appian provides investors with certain non-GAAP financial performance measures. Appian uses these non-GAAP financial performance measures for financial and operational decision-making and as a means to evaluate period-to-period comparisons. Appian’s management believes these non-GAAP financial measures provide meaningful supplemental information regarding Appian’s performance by excluding certain expenses that may not be indicative of our recurring core business operating results. Appian believes both management and investors benefit from referring to these non-GAAP financial measures in assessing Appian’s performance and when planning, forecasting, and analyzing future periods. These non-GAAP financial measures also facilitate management’s internal comparisons to historical performance as well as comparisons to competitors’ operating results. Appian believes these non-GAAP financial measures are useful to investors both because (1) they allow for greater transparency with respect to measures used by management in its financial and operational decision-making and (2) they are used by institutional investors and the analyst community to help them analyze the health of Appian’s business.</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The non-GAAP financial performance measures include the following: non-GAAP subscriptions cost of revenue, non-GAAP professional services cost of revenue, non-GAAP total cost of revenue, non-GAAP sales and marketing expense, non-GAAP research and development expense, non-GAAP general and administrative expense, non-GAAP total operating expense, non-GAAP non-operating (expense) income, non-GAAP income tax expense, non-GAAP net income, and non-GAAP net income per share, basic and diluted. These non-GAAP financial performance measures exclude the effect of stock-based compensation expense, unrealized foreign exchange rate gains and losses, certain non-ordinary litigation-related expenses consisting of legal and other professional fees associated with the Pegasystems cases (net of insurance reimbursements), or Litigation Expense, amortization of the judgment </w:t>
      </w:r>
    </w:p>
    <w:p>
      <w:pPr>
        <w:pStyle w:val="TextBody"/>
        <w:bidi w:val="0"/>
        <w:spacing w:lineRule="auto" w:line="288"/>
        <w:jc w:val="left"/>
        <w:rPr/>
      </w:pPr>
      <w:r>
        <w:rPr>
          <w:rFonts w:ascii="Tahoma;sans-serif" w:hAnsi="Tahoma;sans-serif"/>
          <w:b w:val="false"/>
          <w:color w:val="000000"/>
          <w:sz w:val="10"/>
        </w:rPr>
        <w:t>1</w:t>
      </w:r>
      <w:r>
        <w:rPr>
          <w:color w:val="000000"/>
        </w:rPr>
        <w:t xml:space="preserve"> </w:t>
      </w:r>
      <w:r>
        <w:rPr>
          <w:rFonts w:ascii="Tahoma;sans-serif" w:hAnsi="Tahoma;sans-serif"/>
          <w:b w:val="false"/>
          <w:color w:val="000000"/>
          <w:sz w:val="16"/>
        </w:rPr>
        <w:t>https://register-conf.media-server.com/register/BI28813a37ca7a432497f0bb1cdcef1e12</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preservation insurance policy, or JPI Amortization, and lease impairments and lease-related charges associated with actions taken to reduce the footprint of our leased office spaces, or Lease Impairment and Lease-Related Charges. While some of these items may be recurring in nature and should not be disregarded in the evaluation of our earnings performance, it is useful to exclude such items when analyzing current results and trends compared to other periods as these items can vary significantly from period to period depending on specific underlying transactions or events that may occur. Therefore, while we may incur or recognize these types of expenses in the future, we believe removing these items for purposes of calculating our non-GAAP financial measures provides investors with a more focused presentation of our ongoing operating performance.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Appian also discusses adjusted EBITDA, a non-GAAP financial performance measure it believes offers a useful view of the overall operation of its businesses. Appian defines adjusted EBITDA as net loss before (1) other expense (income), net, (2) interest expense, (3) income tax expense, (4) depreciation expense and amortization of intangible assets, (5) stock-based compensation expense, (6) Litigation Expense, (7) JPI Amortization, and (8) Lease Impairment and Lease-Related Charges. The most directly comparable GAAP financial measure to adjusted EBITDA is net loss. Users should consider the limitations of using adjusted EBITDA, including the fact this measure does not provide a complete depiction of our operating performance. Adjusted EBITDA is not intended to purport to be an alternative to net loss as a measure of operating performance or to cash flows from operating activities as a measure of liquidity.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The presentation of these non-GAAP financial measures is not intended to be considered in isolation from, as a substitute for, or superior to the financial information prepared and presented in accordance with GAAP, and Appian’s non-GAAP measures may be different from non-GAAP measures used by other companies. For more information on these non-GAAP financial measures, see the reconciliation of these non-GAAP financial measures to their nearest comparable GAAP measures at the end of this press release.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Appian provides guidance ranges for non-GAAP net income per share and adjusted EBITDA; however, we are not able to reconcile these amounts to their comparable GAAP financial measures without unreasonable efforts because certain information necessary to calculate such measures on a GAAP basis is unavailable, subject to high variability, dependent on future events outside of our control, and cannot be predicted. In addition, Appian believes such reconciliations could imply a degree of precision that might be confusing or misleading to investors. The actual effect of the reconciling items that Appian may exclude from these non-GAAP expense numbers, when determined, may be significant to the calculation of the comparable GAAP measures. </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Forward-Looking Statements</w:t>
      </w:r>
    </w:p>
    <w:p>
      <w:pPr>
        <w:pStyle w:val="TextBody"/>
        <w:bidi w:val="0"/>
        <w:spacing w:before="0" w:after="0"/>
        <w:jc w:val="left"/>
        <w:rPr/>
      </w:pPr>
      <w:r>
        <w:rPr/>
      </w:r>
    </w:p>
    <w:p>
      <w:pPr>
        <w:pStyle w:val="TextBody"/>
        <w:bidi w:val="0"/>
        <w:spacing w:lineRule="auto" w:line="288"/>
        <w:jc w:val="left"/>
        <w:rPr>
          <w:rFonts w:ascii="Tahoma;sans-serif" w:hAnsi="Tahoma;sans-serif"/>
          <w:b w:val="false"/>
          <w:color w:val="000000"/>
          <w:sz w:val="20"/>
        </w:rPr>
      </w:pPr>
      <w:r>
        <w:rPr>
          <w:rFonts w:ascii="Tahoma;sans-serif" w:hAnsi="Tahoma;sans-serif"/>
          <w:b w:val="false"/>
          <w:color w:val="000000"/>
          <w:sz w:val="20"/>
        </w:rPr>
        <w:t xml:space="preserve">This press release includes forward-looking statements within the meaning of the Private Securities Litigation Reform Act of 1995. All statements contained in this press release other than statements of historical facts, including statements regarding Appian’s future financial and business performance for the third quarter and full year 2026, future investment by Appian in its go-to-market initiatives, increased demand for the Appian Platform, market opportunity and plans and objectives for future operations, including Appian’s ability to drive continued subscriptions revenue and total revenue growth, are forward-looking statements. The words “anticipate,” “believe,” “continue,” “estimate,” “expect,” “intend,” “may,” “will,” “plan,” and similar expressions are intended to identify forward-looking statements. Appian has based these forward-looking statements on its current expectations and projections about future events and financial trends that Appian believes may affect its financial condition, results of operations, business strategy, short-term and long-term business operations and objectives, and financial needs. These forward-looking statements are subject to a number of risks and uncertainties, including the risks and uncertainties associated with Appian’s market opportunity and the expansion of its core software markets in general, the opportunity and disruptive impact of AI, the effects of increased competition, as well as innovations by new and existing competitors in its market, Appian’s ability to effectively manage or sustain its growth and to maintain profitability, Appian’s ability to maintain, or strengthen awareness of, its brand, risks and uncertainties associated with the composition and concentration of Appian’s customer base and their demand for its platform and satisfaction with the services provided by Appian, Appian’s ability to operate in compliance with applicable laws and regulations, Appian’s strategic relationships with third parties, and additional risks and uncertainties set forth in the “Risk Factors” section of Appian’s most recent annual report on Form 10-K, quarterly reports on Form 10-Q, and other filings with the Securities and Exchange Commission. Moreover, Appian operates in a very competitive and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rapidly changing environment. New risks emerge from time to time. It is not possible for Appian’s management to predict all risks, nor can Appian assess the impact of all factors on its business or the extent to which any factor, or combination of factors, may cause actual results to differ materially from those contained in any forward-looking statements Appian may make. In light of these risks, uncertainties, and assumptions, Appian cannot guarantee future results, levels of activity, performance, achievements, or events and circumstances reflected in the forward-looking statements will occur. Appian is under no duty to update any of these forward-looking statements after the date of this press release to conform these statements to actual results or revised expectations, except as required by law.</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Investor Contact</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investors@appian.com</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Media Contact</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pr@appian.com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BALANCE SHEETS</w:t>
      </w:r>
    </w:p>
    <w:p>
      <w:pPr>
        <w:pStyle w:val="TextBody"/>
        <w:bidi w:val="0"/>
        <w:spacing w:lineRule="auto" w:line="288" w:before="0" w:after="0"/>
        <w:jc w:val="center"/>
        <w:rPr/>
      </w:pPr>
      <w:r>
        <w:rPr>
          <w:rFonts w:ascii="Tahoma;sans-serif" w:hAnsi="Tahoma;sans-serif"/>
          <w:b w:val="false"/>
          <w:i/>
          <w:color w:val="000000"/>
          <w:sz w:val="16"/>
        </w:rPr>
        <w:t>(in thousands, except par value and share data)</w:t>
      </w:r>
      <w:r>
        <w:rPr>
          <w:color w:val="000000"/>
        </w:rPr>
        <w:t> </w:t>
      </w:r>
    </w:p>
    <w:tbl>
      <w:tblPr>
        <w:tblW w:w="10205" w:type="dxa"/>
        <w:jc w:val="center"/>
        <w:tblInd w:w="0" w:type="dxa"/>
        <w:tblLayout w:type="fixed"/>
        <w:tblCellMar>
          <w:top w:w="28" w:type="dxa"/>
          <w:left w:w="28" w:type="dxa"/>
          <w:bottom w:w="28" w:type="dxa"/>
          <w:right w:w="28" w:type="dxa"/>
        </w:tblCellMar>
      </w:tblPr>
      <w:tblGrid>
        <w:gridCol w:w="2902"/>
        <w:gridCol w:w="2407"/>
        <w:gridCol w:w="2406"/>
        <w:gridCol w:w="187"/>
        <w:gridCol w:w="669"/>
        <w:gridCol w:w="112"/>
        <w:gridCol w:w="109"/>
        <w:gridCol w:w="109"/>
        <w:gridCol w:w="109"/>
        <w:gridCol w:w="219"/>
        <w:gridCol w:w="785"/>
        <w:gridCol w:w="191"/>
      </w:tblGrid>
      <w:tr>
        <w:trPr/>
        <w:tc>
          <w:tcPr>
            <w:tcW w:w="2902"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5"/>
              </w:rPr>
            </w:pPr>
            <w:r>
              <w:rPr>
                <w:rFonts w:ascii="Tahoma;sans-serif" w:hAnsi="Tahoma;sans-serif"/>
                <w:b/>
                <w:color w:val="000000"/>
                <w:sz w:val="15"/>
              </w:rPr>
              <w:t>As of</w:t>
            </w:r>
          </w:p>
        </w:tc>
      </w:tr>
      <w:tr>
        <w:trPr/>
        <w:tc>
          <w:tcPr>
            <w:tcW w:w="7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December 31, 2025</w:t>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i/>
                <w:color w:val="000000"/>
                <w:sz w:val="15"/>
              </w:rPr>
            </w:pPr>
            <w:r>
              <w:rPr>
                <w:rFonts w:ascii="Tahoma;sans-serif" w:hAnsi="Tahoma;sans-serif"/>
                <w:b w:val="false"/>
                <w:i/>
                <w:color w:val="000000"/>
                <w:sz w:val="15"/>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Assets</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Current assets</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Cash and cash equivalents</w:t>
            </w:r>
          </w:p>
        </w:tc>
        <w:tc>
          <w:tcPr>
            <w:tcW w:w="1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121,111 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135,810 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Short-term investments and marketable securities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46,755 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51,415 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Accounts receivable, net of allowance of $3,416 and $3,362, respectively</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171,162 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255,063 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commissions, current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38,026 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35,166 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Prepaid expenses and other current assets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32,952 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41,970 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current assets</w:t>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410,006 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519,424 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Property and equipment, net of accumulated depreciation of $42,933 and $40,747, respectively</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30,667 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32,087 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Goodwill</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27,973 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28,811 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Intangible assets, net of accumulated amortization of $7,710 and $7,301, respectively</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1,246 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Right-of-use assets for operating leases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30,437 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28,075 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commissions, net of current portion</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67,376 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65,199 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tax assets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4,857 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4,850 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assets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13,809 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11,703 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assets</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585,713 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691,395 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Liabilities and Stockholders’ Deficit</w:t>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Current liabilities</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Accounts payable</w:t>
            </w:r>
          </w:p>
        </w:tc>
        <w:tc>
          <w:tcPr>
            <w:tcW w:w="1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8,077 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6,655 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Accrued expenses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21,662 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18,483 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Accrued compensation and related benefits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43,035 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61,781 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revenue</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314,263 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341,281 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Debt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9,598 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9,598 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Operating lease liabilities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14,171 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13,181 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current liabilities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current liabilities</w:t>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411,818 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452,107 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Long-term debt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226,429 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231,228 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Non-current operating lease liabilities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45,128 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45,693 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revenue, non-current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7,208 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8,962 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non-current liabilities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398 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liabilities</w:t>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690,894 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738,388 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Stockholders’ deficit</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Class A common stock—par value $0.0001; 500,000,000 shares authorized as of June 30, 2026 and December 31, 2025 and 43,504,355 and 43,408,828 shares issued as of June 30, 2026 and December 31, 2025, respectively</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 xml:space="preserve">Class B common stock—par value $0.0001; 100,000,000 shares authorized as June 30, 2026 and December 31, 2025 and 31,087,385 and 31,088,085 shares issued as of June 30, 2026 and December 31, 2025, respectively </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Treasury stock at cost, 2,795,084 and 542,288 shares as of June 30, 2026 and December 31, 2025, respectively</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(70,391)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Additional paid-in capital</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623,090 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617,318 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Accumulated other comprehensive loss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(33,624)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(36,462)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Accumulated deficit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(624,263)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(610,921)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stockholders’ deficit</w:t>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(105,181)</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(46,993)</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liabilities and stockholders’ deficit</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585,713 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691,395 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OPERATIONS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(unaudited, in thousands, except per share data)</w:t>
      </w:r>
    </w:p>
    <w:p>
      <w:pPr>
        <w:pStyle w:val="TextBody"/>
        <w:bidi w:val="0"/>
        <w:spacing w:before="0" w:after="0"/>
        <w:jc w:val="center"/>
        <w:rPr/>
      </w:pPr>
      <w:r>
        <w:rPr/>
      </w:r>
    </w:p>
    <w:tbl>
      <w:tblPr>
        <w:tblW w:w="9690" w:type="dxa"/>
        <w:jc w:val="center"/>
        <w:tblInd w:w="0" w:type="dxa"/>
        <w:tblLayout w:type="fixed"/>
        <w:tblCellMar>
          <w:top w:w="28" w:type="dxa"/>
          <w:left w:w="28" w:type="dxa"/>
          <w:bottom w:w="28" w:type="dxa"/>
          <w:right w:w="28" w:type="dxa"/>
        </w:tblCellMar>
      </w:tblPr>
      <w:tblGrid>
        <w:gridCol w:w="1430"/>
        <w:gridCol w:w="1258"/>
        <w:gridCol w:w="1272"/>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267,009 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203,256 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170,640 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405,436 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337,066 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48,954 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112,924 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92,994 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Gross profit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144,743 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121,686 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292,512 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244,072 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134,732 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84,485 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operating expenses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150,183 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132,670 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294,796 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255,890 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loss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(10,984)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(11,818)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Other non-operating expense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expense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other non-operating expense (income)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8,695 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(12,643)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(Loss) income before income taxes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(10,979)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Net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(1,489)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loss per Class A and Class B share: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common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Basic and 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CASH FLOWS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(unaudited, in thousands)</w:t>
      </w:r>
    </w:p>
    <w:tbl>
      <w:tblPr>
        <w:tblW w:w="8604" w:type="dxa"/>
        <w:jc w:val="center"/>
        <w:tblInd w:w="0" w:type="dxa"/>
        <w:tblLayout w:type="fixed"/>
        <w:tblCellMar>
          <w:top w:w="28" w:type="dxa"/>
          <w:left w:w="28" w:type="dxa"/>
          <w:bottom w:w="28" w:type="dxa"/>
          <w:right w:w="28" w:type="dxa"/>
        </w:tblCellMar>
      </w:tblPr>
      <w:tblGrid>
        <w:gridCol w:w="2226"/>
        <w:gridCol w:w="1958"/>
        <w:gridCol w:w="1966"/>
        <w:gridCol w:w="196"/>
        <w:gridCol w:w="736"/>
        <w:gridCol w:w="109"/>
        <w:gridCol w:w="109"/>
        <w:gridCol w:w="109"/>
        <w:gridCol w:w="109"/>
        <w:gridCol w:w="196"/>
        <w:gridCol w:w="736"/>
        <w:gridCol w:w="154"/>
      </w:tblGrid>
      <w:tr>
        <w:trPr/>
        <w:tc>
          <w:tcPr>
            <w:tcW w:w="2226"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Six Months Ended June 30,</w:t>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2025</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Depreciation expense and 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Bad debt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Benefit for 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Foreign currency transaction losses (gains),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Changes in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82,946 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49,720 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Deferred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Accrued compensation and related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(17,348)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current and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(26,590)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(25,611)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Operating lease assets and liabilities,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Net cash provided by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60,909 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43,026 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Proceeds from maturities of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49,079 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27,985 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Purchases of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(44,866)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(59,281)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Net cash provided by (used by)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(33,093)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Debt repayments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Repurchases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(65,736)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Payments for employee taxes related to the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Proceeds from exercise of common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Net cash used by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(76,255)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(18,965)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Effect of foreign exchange rate changes on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Net decrease in cash and cash equivalents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(14,699)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(6,345)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135,810 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118,552 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Cash and cash equivalents at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121,111 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112,207 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Supplemental disclosure of non-cash investing and financing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Accrued 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Operating lease liabilities arising from obtaining right-of-use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APPIAN CORPORATION</w:t>
      </w:r>
    </w:p>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RECONCILIATION OF GAAP MEASURES TO NON-GAAP MEASURES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(unaudited, in thousands,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76"/>
        <w:gridCol w:w="364"/>
        <w:gridCol w:w="365"/>
        <w:gridCol w:w="184"/>
        <w:gridCol w:w="583"/>
        <w:gridCol w:w="111"/>
        <w:gridCol w:w="109"/>
        <w:gridCol w:w="109"/>
        <w:gridCol w:w="109"/>
        <w:gridCol w:w="275"/>
        <w:gridCol w:w="642"/>
        <w:gridCol w:w="167"/>
        <w:gridCol w:w="109"/>
        <w:gridCol w:w="109"/>
        <w:gridCol w:w="109"/>
        <w:gridCol w:w="200"/>
        <w:gridCol w:w="466"/>
        <w:gridCol w:w="120"/>
        <w:gridCol w:w="109"/>
        <w:gridCol w:w="109"/>
        <w:gridCol w:w="109"/>
        <w:gridCol w:w="226"/>
        <w:gridCol w:w="527"/>
        <w:gridCol w:w="138"/>
        <w:gridCol w:w="109"/>
        <w:gridCol w:w="109"/>
        <w:gridCol w:w="109"/>
        <w:gridCol w:w="330"/>
        <w:gridCol w:w="743"/>
        <w:gridCol w:w="201"/>
        <w:gridCol w:w="109"/>
        <w:gridCol w:w="109"/>
        <w:gridCol w:w="109"/>
        <w:gridCol w:w="278"/>
        <w:gridCol w:w="699"/>
        <w:gridCol w:w="167"/>
        <w:gridCol w:w="109"/>
        <w:gridCol w:w="109"/>
        <w:gridCol w:w="109"/>
        <w:gridCol w:w="193"/>
        <w:gridCol w:w="611"/>
        <w:gridCol w:w="177"/>
      </w:tblGrid>
      <w:tr>
        <w:trPr/>
        <w:tc>
          <w:tcPr>
            <w:tcW w:w="4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Litigation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JPI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Lease Impairment and Lease-Related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Unrealized Foreign Exchange Rate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Non-GAAP Measure</w:t>
            </w:r>
          </w:p>
        </w:tc>
      </w:tr>
      <w:tr>
        <w:trPr/>
        <w:tc>
          <w:tcPr>
            <w:tcW w:w="10205" w:type="dxa"/>
            <w:gridSpan w:val="4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4"/>
              </w:rPr>
            </w:pPr>
            <w:r>
              <w:rPr>
                <w:rFonts w:ascii="Tahoma;sans-serif" w:hAnsi="Tahoma;sans-serif"/>
                <w:b/>
                <w:color w:val="000000"/>
                <w:sz w:val="14"/>
              </w:rPr>
              <w:t>Three Months Ended June 30, 2026</w:t>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Subscriptions cost of revenue</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25,409 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(497)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24,912 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Professional services cost of revenue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33,104 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(1,520)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31,584 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cost of revenue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58,513 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56,496 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Sales and marketing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70,113 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(1,963)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68,150 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Research and development expense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47,305 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(3,382)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43,923 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General and administrative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32,765 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(3,198)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(6,293)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(1,957)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(279)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21,038 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operating expense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150,183 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(8,543)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(6,293)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(1,957)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(279)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133,111 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Operating (loss)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(5,440)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10,560 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279 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13,649 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 xml:space="preserve">Non-operating expense (income)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(2,523)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(1,696)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Income tax impact of above items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1,770 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2,369 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(11,817)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10,056 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279 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2,428 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9,196 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 per share, basic</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4"/>
              </w:rPr>
              <w:t>Net (loss) income per share, diluted</w:t>
            </w:r>
            <w:r>
              <w:rPr>
                <w:rFonts w:ascii="Ubuntu;sans-serif" w:hAnsi="Ubuntu;sans-serif"/>
                <w:b w:val="false"/>
                <w:color w:val="000000"/>
                <w:sz w:val="9"/>
              </w:rPr>
              <w:t>(a)</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4"/>
              </w:rPr>
            </w:pPr>
            <w:r>
              <w:rPr>
                <w:rFonts w:ascii="Tahoma;sans-serif" w:hAnsi="Tahoma;sans-serif"/>
                <w:b/>
                <w:color w:val="000000"/>
                <w:sz w:val="14"/>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Subscriptions cost of revenue</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20,707 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20,289 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Professional services cost of revenue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28,247 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(1,400)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26,847 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cost of revenue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48,954 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(1,818)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47,136 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Sales and marketing expense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62,157 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(2,087)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60,070 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Research and development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42,655 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(3,357)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39,298 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General and administrative expense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27,858 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(3,431)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(2,482)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(3,118)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18,530 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operating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132,670 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(8,875)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(2,482)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(3,118)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117,898 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Operating (loss) income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(10,984)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10,693 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2,482 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5,606 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Non-operating (income)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(17,564)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16,754 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(810)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Income tax impact of above items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10,398 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2,482 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(15,695)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 per share, basic</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4"/>
              </w:rPr>
              <w:t>Net (loss) income per share, diluted</w:t>
            </w:r>
            <w:r>
              <w:rPr>
                <w:rFonts w:ascii="Ubuntu;sans-serif" w:hAnsi="Ubuntu;sans-serif"/>
                <w:b w:val="false"/>
                <w:color w:val="000000"/>
                <w:sz w:val="9"/>
              </w:rPr>
              <w:t>(a)</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9"/>
        </w:rPr>
        <w:t>(a)</w:t>
      </w:r>
      <w:r>
        <w:rPr>
          <w:color w:val="000000"/>
        </w:rPr>
        <w:t xml:space="preserve"> </w:t>
      </w:r>
      <w:r>
        <w:rPr>
          <w:rFonts w:ascii="Tahoma;sans-serif" w:hAnsi="Tahoma;sans-serif"/>
          <w:b w:val="false"/>
          <w:color w:val="000000"/>
          <w:sz w:val="14"/>
        </w:rPr>
        <w:t>Accounts for the impact of 0.4 million shares of dilutive securities.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80"/>
        <w:gridCol w:w="367"/>
        <w:gridCol w:w="368"/>
        <w:gridCol w:w="184"/>
        <w:gridCol w:w="583"/>
        <w:gridCol w:w="111"/>
        <w:gridCol w:w="109"/>
        <w:gridCol w:w="109"/>
        <w:gridCol w:w="109"/>
        <w:gridCol w:w="249"/>
        <w:gridCol w:w="683"/>
        <w:gridCol w:w="151"/>
        <w:gridCol w:w="109"/>
        <w:gridCol w:w="109"/>
        <w:gridCol w:w="109"/>
        <w:gridCol w:w="200"/>
        <w:gridCol w:w="466"/>
        <w:gridCol w:w="120"/>
        <w:gridCol w:w="109"/>
        <w:gridCol w:w="109"/>
        <w:gridCol w:w="109"/>
        <w:gridCol w:w="226"/>
        <w:gridCol w:w="527"/>
        <w:gridCol w:w="138"/>
        <w:gridCol w:w="109"/>
        <w:gridCol w:w="109"/>
        <w:gridCol w:w="109"/>
        <w:gridCol w:w="323"/>
        <w:gridCol w:w="753"/>
        <w:gridCol w:w="195"/>
        <w:gridCol w:w="109"/>
        <w:gridCol w:w="109"/>
        <w:gridCol w:w="109"/>
        <w:gridCol w:w="277"/>
        <w:gridCol w:w="697"/>
        <w:gridCol w:w="166"/>
        <w:gridCol w:w="109"/>
        <w:gridCol w:w="109"/>
        <w:gridCol w:w="109"/>
        <w:gridCol w:w="193"/>
        <w:gridCol w:w="611"/>
        <w:gridCol w:w="175"/>
      </w:tblGrid>
      <w:tr>
        <w:trPr/>
        <w:tc>
          <w:tcPr>
            <w:tcW w:w="48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Litigation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JPI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Lease Impairment and Lease-Related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Unrealized Foreign Exchange Rate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Non-GAAP Measure</w:t>
            </w:r>
          </w:p>
        </w:tc>
      </w:tr>
      <w:tr>
        <w:trPr/>
        <w:tc>
          <w:tcPr>
            <w:tcW w:w="10205" w:type="dxa"/>
            <w:gridSpan w:val="4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Six months ended June 30, 2026</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Subscriptions cost of revenue</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48,313 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47,257 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Professional services cost of revenue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64,611 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(3,158)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61,453 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cost of revenue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112,924 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(4,214)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108,710 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Sales and marketing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134,732 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(4,366)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130,366 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Research and development expense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93,629 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(7,117)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86,512 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General and administrative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66,435 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(6,752)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(13,241)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(4,012)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(581)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41,849 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operating expense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294,796 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(18,235)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(13,241)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(4,012)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(581)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258,727 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Operating (loss)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(2,284)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22,449 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13,241 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4,012 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581 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37,999 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Non-operating expense (income)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(2,628)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Income tax impact of above items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2,363 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3,668 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 xml:space="preserve">Net (loss) income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(13,342)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21,438 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13,241 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4,012 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581 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3,077 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29,007 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4"/>
              </w:rPr>
              <w:t>Net (loss) income per share, basic</w:t>
            </w:r>
            <w:r>
              <w:rPr>
                <w:rFonts w:ascii="Ubuntu;sans-serif" w:hAnsi="Ubuntu;sans-serif"/>
                <w:b w:val="false"/>
                <w:color w:val="000000"/>
                <w:sz w:val="9"/>
              </w:rPr>
              <w:t>(c)</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0.40 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4"/>
              </w:rPr>
              <w:t>Net (loss) income per share, diluted</w:t>
            </w:r>
            <w:r>
              <w:rPr>
                <w:rFonts w:ascii="Ubuntu;sans-serif" w:hAnsi="Ubuntu;sans-serif"/>
                <w:b w:val="false"/>
                <w:color w:val="000000"/>
                <w:sz w:val="9"/>
              </w:rPr>
              <w:t>(a)</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0.39 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Subscriptions cost of revenue</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39,228 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(916)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38,312 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Professional services cost of revenue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53,766 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(2,856)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50,910 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cost of revenue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92,994 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(3,772)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89,222 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Sales and marketing expense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118,467 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114,134 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Research and development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84,485 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(6,371)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78,114 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General and administrative expense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52,938 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(4,194)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(6,202)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35,677 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operating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255,890 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(16,960)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(4,194)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(6,202)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227,925 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Operating (loss) income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(11,818)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20,732 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19,919 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Non-operating (income)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(23,280)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20,770 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(2,510)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Income tax impact of above items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2,314 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1,738 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(1,489)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19,982 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(19,444)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10,054 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 per share, basic</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4"/>
              </w:rPr>
              <w:t>Net (loss) income per share, diluted</w:t>
            </w:r>
            <w:r>
              <w:rPr>
                <w:rFonts w:ascii="Ubuntu;sans-serif" w:hAnsi="Ubuntu;sans-serif"/>
                <w:b w:val="false"/>
                <w:color w:val="000000"/>
                <w:sz w:val="9"/>
              </w:rPr>
              <w:t>(b,c)</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9"/>
        </w:rPr>
        <w:t>(a)</w:t>
      </w:r>
      <w:r>
        <w:rPr>
          <w:color w:val="000000"/>
        </w:rPr>
        <w:t xml:space="preserve"> </w:t>
      </w:r>
      <w:r>
        <w:rPr>
          <w:rFonts w:ascii="Tahoma;sans-serif" w:hAnsi="Tahoma;sans-serif"/>
          <w:b w:val="false"/>
          <w:color w:val="000000"/>
          <w:sz w:val="14"/>
        </w:rPr>
        <w:t>Accounts for the impact of 0.5 million shares of dilutive securities.</w:t>
      </w:r>
    </w:p>
    <w:p>
      <w:pPr>
        <w:pStyle w:val="TextBody"/>
        <w:bidi w:val="0"/>
        <w:spacing w:lineRule="auto" w:line="288" w:before="0" w:after="0"/>
        <w:jc w:val="left"/>
        <w:rPr/>
      </w:pPr>
      <w:r>
        <w:rPr>
          <w:rFonts w:ascii="Tahoma;sans-serif" w:hAnsi="Tahoma;sans-serif"/>
          <w:b w:val="false"/>
          <w:color w:val="000000"/>
          <w:sz w:val="9"/>
        </w:rPr>
        <w:t>(b)</w:t>
      </w:r>
      <w:r>
        <w:rPr>
          <w:color w:val="000000"/>
        </w:rPr>
        <w:t xml:space="preserve"> </w:t>
      </w:r>
      <w:r>
        <w:rPr>
          <w:rFonts w:ascii="Tahoma;sans-serif" w:hAnsi="Tahoma;sans-serif"/>
          <w:b w:val="false"/>
          <w:color w:val="000000"/>
          <w:sz w:val="14"/>
        </w:rPr>
        <w:t>Accounts for the impact of 0.4 million shares of dilutive securities.</w:t>
      </w:r>
    </w:p>
    <w:p>
      <w:pPr>
        <w:pStyle w:val="TextBody"/>
        <w:bidi w:val="0"/>
        <w:spacing w:lineRule="auto" w:line="288" w:before="0" w:after="0"/>
        <w:jc w:val="left"/>
        <w:rPr/>
      </w:pPr>
      <w:r>
        <w:rPr>
          <w:rFonts w:ascii="Tahoma;sans-serif" w:hAnsi="Tahoma;sans-serif"/>
          <w:b w:val="false"/>
          <w:color w:val="000000"/>
          <w:sz w:val="9"/>
        </w:rPr>
        <w:t xml:space="preserve">(c) </w:t>
      </w:r>
      <w:r>
        <w:rPr>
          <w:rFonts w:ascii="Tahoma;sans-serif" w:hAnsi="Tahoma;sans-serif"/>
          <w:b w:val="false"/>
          <w:color w:val="000000"/>
          <w:sz w:val="14"/>
        </w:rPr>
        <w:t>Per share amounts do not foot due to rounding.</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18"/>
        <w:gridCol w:w="1513"/>
        <w:gridCol w:w="1516"/>
        <w:gridCol w:w="217"/>
        <w:gridCol w:w="866"/>
        <w:gridCol w:w="111"/>
        <w:gridCol w:w="111"/>
        <w:gridCol w:w="111"/>
        <w:gridCol w:w="111"/>
        <w:gridCol w:w="217"/>
        <w:gridCol w:w="666"/>
        <w:gridCol w:w="111"/>
        <w:gridCol w:w="109"/>
        <w:gridCol w:w="109"/>
        <w:gridCol w:w="109"/>
        <w:gridCol w:w="211"/>
        <w:gridCol w:w="838"/>
        <w:gridCol w:w="109"/>
        <w:gridCol w:w="109"/>
        <w:gridCol w:w="109"/>
        <w:gridCol w:w="109"/>
        <w:gridCol w:w="211"/>
        <w:gridCol w:w="751"/>
        <w:gridCol w:w="163"/>
      </w:tblGrid>
      <w:tr>
        <w:trPr/>
        <w:tc>
          <w:tcPr>
            <w:tcW w:w="1718"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Reconciliation of adjusted EBITDA:</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GAAP net loss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(1,489)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expense (income),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(17,564)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(23,280)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Depreciation expense and amortization of intangible assets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Stock-based compensation expense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20,732 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Litigation Expense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JPI Amortization</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Lease Impairment and Lease-Related Charges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Adjusted EBITDA</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16,156 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8,130 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42,779 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24,889 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ahoma">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 w:name="Ubuntu">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3959</Words>
  <Characters>22935</Characters>
  <CharactersWithSpaces>26469</CharactersWithSpaces>
  <Paragraphs>1068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