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UNITED STATES</w:t>
      </w:r>
    </w:p>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SECURITIES AND EXCHANGE COMMISSION</w:t>
      </w:r>
    </w:p>
    <w:p>
      <w:pPr>
        <w:pStyle w:val="TextBody"/>
        <w:bidi w:val="0"/>
        <w:spacing w:lineRule="auto" w:line="288" w:before="0" w:after="0"/>
        <w:jc w:val="center"/>
        <w:rPr>
          <w:rFonts w:ascii="Tahoma;sans-serif" w:hAnsi="Tahoma;sans-serif"/>
          <w:b/>
          <w:color w:val="000000"/>
          <w:sz w:val="24"/>
        </w:rPr>
      </w:pPr>
      <w:r>
        <w:rPr>
          <w:rFonts w:ascii="Tahoma;sans-serif" w:hAnsi="Tahoma;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color w:val="000000"/>
          <w:sz w:val="36"/>
        </w:rPr>
      </w:pPr>
      <w:r>
        <w:rPr>
          <w:rFonts w:ascii="Tahoma;sans-serif" w:hAnsi="Tahoma;sans-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(Mark One)</w:t>
      </w:r>
    </w:p>
    <w:tbl>
      <w:tblPr>
        <w:tblW w:w="9387" w:type="dxa"/>
        <w:jc w:val="left"/>
        <w:tblInd w:w="0" w:type="dxa"/>
        <w:tblLayout w:type="fixed"/>
        <w:tblCellMar>
          <w:top w:w="28" w:type="dxa"/>
          <w:left w:w="28" w:type="dxa"/>
          <w:bottom w:w="28" w:type="dxa"/>
          <w:right w:w="28" w:type="dxa"/>
        </w:tblCellMar>
      </w:tblPr>
      <w:tblGrid>
        <w:gridCol w:w="124"/>
        <w:gridCol w:w="109"/>
        <w:gridCol w:w="109"/>
        <w:gridCol w:w="2648"/>
        <w:gridCol w:w="2648"/>
        <w:gridCol w:w="37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ANNUAL REPORT PURSUANT TO SECTION 13 OR 15(d) OF THE SECURITIES EXCHANGE ACT OF 1934</w:t>
            </w:r>
          </w:p>
        </w:tc>
      </w:tr>
    </w:tbl>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For the fiscal year ended December 31, 2025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OR</w:t>
      </w:r>
    </w:p>
    <w:tbl>
      <w:tblPr>
        <w:tblW w:w="9792" w:type="dxa"/>
        <w:jc w:val="center"/>
        <w:tblInd w:w="0" w:type="dxa"/>
        <w:tblLayout w:type="fixed"/>
        <w:tblCellMar>
          <w:top w:w="28" w:type="dxa"/>
          <w:left w:w="28" w:type="dxa"/>
          <w:bottom w:w="28" w:type="dxa"/>
          <w:right w:w="28" w:type="dxa"/>
        </w:tblCellMar>
      </w:tblPr>
      <w:tblGrid>
        <w:gridCol w:w="124"/>
        <w:gridCol w:w="109"/>
        <w:gridCol w:w="109"/>
        <w:gridCol w:w="2767"/>
        <w:gridCol w:w="2767"/>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ahoma;sans-serif" w:hAnsi="Tahoma;sans-serif"/>
          <w:b/>
          <w:color w:val="000000"/>
          <w:sz w:val="20"/>
        </w:rPr>
        <w:t xml:space="preserve">For the transition period from </w:t>
      </w:r>
      <w:r>
        <w:rPr>
          <w:color w:val="000000"/>
          <w:u w:val="single"/>
        </w:rPr>
        <w:t>        </w:t>
      </w:r>
      <w:r>
        <w:rPr>
          <w:color w:val="000000"/>
        </w:rPr>
        <w:t xml:space="preserve"> </w:t>
      </w:r>
      <w:r>
        <w:rPr>
          <w:rFonts w:ascii="Tahoma;sans-serif" w:hAnsi="Tahoma;sans-serif"/>
          <w:b/>
          <w:color w:val="000000"/>
          <w:sz w:val="20"/>
        </w:rPr>
        <w:t xml:space="preserve">to </w:t>
      </w:r>
      <w:r>
        <w:rPr>
          <w:color w:val="000000"/>
          <w:u w:val="single"/>
        </w:rPr>
        <w:t>        </w:t>
      </w:r>
    </w:p>
    <w:p>
      <w:pPr>
        <w:pStyle w:val="TextBody"/>
        <w:bidi w:val="0"/>
        <w:spacing w:lineRule="auto" w:line="288" w:before="0" w:after="0"/>
        <w:jc w:val="center"/>
        <w:rPr/>
      </w:pPr>
      <w:r>
        <w:rPr>
          <w:rFonts w:ascii="Tahoma;sans-serif" w:hAnsi="Tahoma;sans-serif"/>
          <w:b/>
          <w:color w:val="000000"/>
          <w:sz w:val="20"/>
        </w:rPr>
        <w:t>Commission File Number: 001-38098</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905000"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990600"/>
                    </a:xfrm>
                    <a:prstGeom prst="rect">
                      <a:avLst/>
                    </a:prstGeom>
                  </pic:spPr>
                </pic:pic>
              </a:graphicData>
            </a:graphic>
          </wp:inline>
        </w:drawing>
      </w:r>
      <w:bookmarkStart w:id="0" w:name="i-1"/>
      <w:bookmarkEnd w:id="0"/>
    </w:p>
    <w:p>
      <w:pPr>
        <w:pStyle w:val="TextBody"/>
        <w:bidi w:val="0"/>
        <w:spacing w:lineRule="auto" w:line="288" w:before="0" w:after="0"/>
        <w:jc w:val="center"/>
        <w:rPr>
          <w:rFonts w:ascii="Tahoma;sans-serif" w:hAnsi="Tahoma;sans-serif"/>
          <w:b/>
          <w:color w:val="000000"/>
          <w:sz w:val="44"/>
        </w:rPr>
      </w:pPr>
      <w:r>
        <w:rPr>
          <w:rFonts w:ascii="Tahoma;sans-serif" w:hAnsi="Tahoma;sans-serif"/>
          <w:b/>
          <w:color w:val="000000"/>
          <w:sz w:val="44"/>
        </w:rPr>
        <w:t>APPIAN CORPORATION</w:t>
      </w:r>
    </w:p>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511" w:type="dxa"/>
        <w:jc w:val="left"/>
        <w:tblInd w:w="0" w:type="dxa"/>
        <w:tblLayout w:type="fixed"/>
        <w:tblCellMar>
          <w:top w:w="28" w:type="dxa"/>
          <w:left w:w="28" w:type="dxa"/>
          <w:bottom w:w="28" w:type="dxa"/>
          <w:right w:w="28" w:type="dxa"/>
        </w:tblCellMar>
      </w:tblPr>
      <w:tblGrid>
        <w:gridCol w:w="1624"/>
        <w:gridCol w:w="1424"/>
        <w:gridCol w:w="1436"/>
        <w:gridCol w:w="109"/>
        <w:gridCol w:w="109"/>
        <w:gridCol w:w="109"/>
        <w:gridCol w:w="788"/>
        <w:gridCol w:w="788"/>
        <w:gridCol w:w="1124"/>
      </w:tblGrid>
      <w:tr>
        <w:trPr/>
        <w:tc>
          <w:tcPr>
            <w:tcW w:w="16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54-1956084</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(I.R.S. Employer Identification No.)</w:t>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7950 Jones Branch Drive</w:t>
            </w:r>
          </w:p>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McLean, 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22102</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(Zip Code)</w:t>
            </w:r>
          </w:p>
        </w:tc>
      </w:tr>
    </w:tbl>
    <w:p>
      <w:pPr>
        <w:pStyle w:val="TextBody"/>
        <w:bidi w:val="0"/>
        <w:spacing w:lineRule="auto" w:line="288" w:before="0" w:after="0"/>
        <w:jc w:val="center"/>
        <w:rPr>
          <w:rFonts w:ascii="Tahoma;sans-serif" w:hAnsi="Tahoma;sans-serif"/>
          <w:b/>
          <w:color w:val="000000"/>
          <w:sz w:val="16"/>
        </w:rPr>
      </w:pPr>
      <w:r>
        <w:rPr>
          <w:rFonts w:ascii="Tahoma;sans-serif" w:hAnsi="Tahoma;sans-serif"/>
          <w:b/>
          <w:color w:val="000000"/>
          <w:sz w:val="16"/>
        </w:rPr>
        <w:t>Registrant’s telephone number, including area code: (703) 442-8844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Securities registered pursuant to Section 12(b) of the Act:</w:t>
      </w:r>
    </w:p>
    <w:tbl>
      <w:tblPr>
        <w:tblW w:w="7542" w:type="dxa"/>
        <w:jc w:val="center"/>
        <w:tblInd w:w="0" w:type="dxa"/>
        <w:tblLayout w:type="fixed"/>
        <w:tblCellMar>
          <w:top w:w="28" w:type="dxa"/>
          <w:left w:w="28" w:type="dxa"/>
          <w:bottom w:w="28" w:type="dxa"/>
          <w:right w:w="28" w:type="dxa"/>
        </w:tblCellMar>
      </w:tblPr>
      <w:tblGrid>
        <w:gridCol w:w="755"/>
        <w:gridCol w:w="663"/>
        <w:gridCol w:w="666"/>
        <w:gridCol w:w="474"/>
        <w:gridCol w:w="474"/>
        <w:gridCol w:w="476"/>
        <w:gridCol w:w="1181"/>
        <w:gridCol w:w="1181"/>
        <w:gridCol w:w="167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Trading symbol</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u w:val="single"/>
              </w:rPr>
            </w:pPr>
            <w:r>
              <w:rPr>
                <w:rFonts w:ascii="Tahoma;sans-serif" w:hAnsi="Tahoma;sans-serif"/>
                <w:b w:val="false"/>
                <w:color w:val="000000"/>
                <w:sz w:val="20"/>
                <w:u w:val="single"/>
              </w:rPr>
              <w:t xml:space="preserve">Name of each exchange on which registered </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Class A Common Stock</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APPN</w:t>
            </w:r>
          </w:p>
        </w:tc>
        <w:tc>
          <w:tcPr>
            <w:tcW w:w="40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The Nasdaq Global Market</w:t>
            </w:r>
          </w:p>
        </w:tc>
      </w:tr>
    </w:tbl>
    <w:p>
      <w:pPr>
        <w:pStyle w:val="TextBody"/>
        <w:bidi w:val="0"/>
        <w:spacing w:lineRule="auto" w:line="288" w:before="0" w:after="0"/>
        <w:ind w:left="0" w:right="0" w:firstLine="360"/>
        <w:jc w:val="center"/>
        <w:rPr>
          <w:rFonts w:ascii="Tahoma;sans-serif" w:hAnsi="Tahoma;sans-serif"/>
          <w:b w:val="false"/>
          <w:color w:val="000000"/>
          <w:sz w:val="20"/>
        </w:rPr>
      </w:pPr>
      <w:r>
        <w:rPr>
          <w:rFonts w:ascii="Tahoma;sans-serif" w:hAnsi="Tahoma;sans-serif"/>
          <w:b w:val="false"/>
          <w:color w:val="000000"/>
          <w:sz w:val="20"/>
        </w:rPr>
        <w:t>Securities registered pursuant to Section 12(g) of the Act: None</w:t>
      </w:r>
    </w:p>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if the registrant is a well-known seasoned issuer, as defined in Rule 405 of the Securities Act.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if the registrant is not required to file reports pursuant to Section 13 or Section 15(d) of the Act. Yes  ☐    No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6135"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109"/>
        <w:gridCol w:w="109"/>
        <w:gridCol w:w="109"/>
        <w:gridCol w:w="109"/>
        <w:gridCol w:w="109"/>
        <w:gridCol w:w="109"/>
        <w:gridCol w:w="804"/>
        <w:gridCol w:w="804"/>
        <w:gridCol w:w="807"/>
        <w:gridCol w:w="109"/>
        <w:gridCol w:w="109"/>
        <w:gridCol w:w="109"/>
        <w:gridCol w:w="109"/>
        <w:gridCol w:w="109"/>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Indicate by check mark whether the registrant is a shell company (as defined in Rule 12b-2 of the Exchange Act).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June 30, 2025, the aggregate market value of the registrant’s voting Class A common stock and Class B common stock held by non-affiliates of the registrant was $836.4 million and $58.5 million, respectively, based on a closing price of $29.86 per share of the registrant’s Class A common stock as reported on the Nasdaq Global Market on June 30, 2025.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February 17, 2026, there were 42,872,259 shares of our Class A common stock and 31,087,485 shares of our Class B common stock, each with a par value of $0.0001 per share, outstanding.</w:t>
      </w:r>
    </w:p>
    <w:p>
      <w:pPr>
        <w:pStyle w:val="TextBody"/>
        <w:bidi w:val="0"/>
        <w:spacing w:before="0" w:after="0"/>
        <w:ind w:left="0" w:right="0" w:firstLine="600"/>
        <w:jc w:val="center"/>
        <w:rPr/>
      </w:pPr>
      <w:r>
        <w:rPr/>
      </w:r>
    </w:p>
    <w:p>
      <w:pPr>
        <w:pStyle w:val="TextBody"/>
        <w:bidi w:val="0"/>
        <w:spacing w:lineRule="auto" w:line="288" w:before="0" w:after="0"/>
        <w:ind w:left="0" w:right="0" w:firstLine="600"/>
        <w:jc w:val="center"/>
        <w:rPr>
          <w:rFonts w:ascii="Tahoma;sans-serif" w:hAnsi="Tahoma;sans-serif"/>
          <w:b/>
          <w:color w:val="000000"/>
          <w:sz w:val="20"/>
          <w:u w:val="single"/>
        </w:rPr>
      </w:pPr>
      <w:r>
        <w:rPr>
          <w:rFonts w:ascii="Tahoma;sans-serif" w:hAnsi="Tahoma;sans-serif"/>
          <w:b/>
          <w:color w:val="000000"/>
          <w:sz w:val="20"/>
          <w:u w:val="single"/>
        </w:rPr>
        <w:t>DOCUMENTS INCORPORATED BY REFERENCE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Portions of the registrant's definitive Proxy Statement for its 2026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3"/>
        <w:gridCol w:w="283"/>
        <w:gridCol w:w="286"/>
        <w:gridCol w:w="2933"/>
        <w:gridCol w:w="2898"/>
        <w:gridCol w:w="2908"/>
        <w:gridCol w:w="167"/>
        <w:gridCol w:w="167"/>
        <w:gridCol w:w="240"/>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20"/>
              </w:rPr>
            </w:pPr>
            <w:r>
              <w:rPr>
                <w:rFonts w:ascii="Tahoma;sans-serif" w:hAnsi="Tahoma;sans-serif"/>
                <w:b/>
                <w:color w:val="000000"/>
                <w:sz w:val="20"/>
              </w:rPr>
              <w:t>Page</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3">
              <w:r>
                <w:rPr>
                  <w:rStyle w:val="InternetLink"/>
                  <w:rFonts w:ascii="Tahoma;sans-serif" w:hAnsi="Tahoma;sans-serif"/>
                  <w:b w:val="false"/>
                  <w:color w:val="0000FF"/>
                  <w:sz w:val="20"/>
                  <w:u w:val="single"/>
                </w:rPr>
                <w:t>Business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3">
              <w:r>
                <w:rPr>
                  <w:rStyle w:val="InternetLink"/>
                  <w:rFonts w:ascii="Tahoma;sans-serif" w:hAnsi="Tahoma;sans-serif"/>
                  <w:b w:val="false"/>
                  <w:color w:val="0000FF"/>
                  <w:sz w:val="20"/>
                  <w:u w:val="single"/>
                </w:rPr>
                <w:t>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9">
              <w:r>
                <w:rPr>
                  <w:rStyle w:val="InternetLink"/>
                  <w:rFonts w:ascii="Tahoma;sans-serif" w:hAnsi="Tahoma;sans-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9">
              <w:r>
                <w:rPr>
                  <w:rStyle w:val="InternetLink"/>
                  <w:rFonts w:ascii="Tahoma;sans-serif" w:hAnsi="Tahoma;sans-serif"/>
                  <w:b w:val="false"/>
                  <w:color w:val="0000FF"/>
                  <w:sz w:val="20"/>
                  <w:u w:val="single"/>
                </w:rPr>
                <w:t>13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1B.</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22">
              <w:r>
                <w:rPr>
                  <w:rStyle w:val="InternetLink"/>
                  <w:rFonts w:ascii="Tahoma;sans-serif" w:hAnsi="Tahoma;sans-serif"/>
                  <w:b w:val="false"/>
                  <w:color w:val="0000FF"/>
                  <w:sz w:val="20"/>
                  <w:u w:val="single"/>
                </w:rPr>
                <w:t>Unresolved Staff Comments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22">
              <w:r>
                <w:rPr>
                  <w:rStyle w:val="InternetLink"/>
                  <w:rFonts w:ascii="Tahoma;sans-serif" w:hAnsi="Tahoma;sans-serif"/>
                  <w:b w:val="false"/>
                  <w:color w:val="0000FF"/>
                  <w:sz w:val="20"/>
                  <w:u w:val="single"/>
                </w:rPr>
                <w:t>41</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Item 1C.</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25">
              <w:r>
                <w:rPr>
                  <w:rStyle w:val="InternetLink"/>
                  <w:rFonts w:ascii="Tahoma;sans-serif" w:hAnsi="Tahoma;sans-serif"/>
                  <w:b w:val="false"/>
                  <w:color w:val="0000FF"/>
                  <w:sz w:val="20"/>
                  <w:u w:val="single"/>
                </w:rPr>
                <w:t>Cybersecurity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25">
              <w:r>
                <w:rPr>
                  <w:rStyle w:val="InternetLink"/>
                  <w:rFonts w:ascii="Tahoma;sans-serif" w:hAnsi="Tahoma;sans-serif"/>
                  <w:b w:val="false"/>
                  <w:color w:val="0000FF"/>
                  <w:sz w:val="20"/>
                  <w:u w:val="single"/>
                </w:rPr>
                <w:t>41</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2.</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28">
              <w:r>
                <w:rPr>
                  <w:rStyle w:val="InternetLink"/>
                  <w:rFonts w:ascii="Tahoma;sans-serif" w:hAnsi="Tahoma;sans-serif"/>
                  <w:b w:val="false"/>
                  <w:color w:val="0000FF"/>
                  <w:sz w:val="20"/>
                  <w:u w:val="single"/>
                </w:rPr>
                <w:t>Properties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28">
              <w:r>
                <w:rPr>
                  <w:rStyle w:val="InternetLink"/>
                  <w:rFonts w:ascii="Tahoma;sans-serif" w:hAnsi="Tahoma;sans-serif"/>
                  <w:b w:val="false"/>
                  <w:color w:val="0000FF"/>
                  <w:sz w:val="20"/>
                  <w:u w:val="single"/>
                </w:rPr>
                <w:t>41</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3.</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31">
              <w:r>
                <w:rPr>
                  <w:rStyle w:val="InternetLink"/>
                  <w:rFonts w:ascii="Tahoma;sans-serif" w:hAnsi="Tahoma;sans-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31">
              <w:r>
                <w:rPr>
                  <w:rStyle w:val="InternetLink"/>
                  <w:rFonts w:ascii="Tahoma;sans-serif" w:hAnsi="Tahoma;sans-serif"/>
                  <w:b w:val="false"/>
                  <w:color w:val="0000FF"/>
                  <w:sz w:val="20"/>
                  <w:u w:val="single"/>
                </w:rPr>
                <w:t>42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4.</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34">
              <w:r>
                <w:rPr>
                  <w:rStyle w:val="InternetLink"/>
                  <w:rFonts w:ascii="Tahoma;sans-serif" w:hAnsi="Tahoma;sans-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34">
              <w:r>
                <w:rPr>
                  <w:rStyle w:val="InternetLink"/>
                  <w:rFonts w:ascii="Tahoma;sans-serif" w:hAnsi="Tahoma;sans-serif"/>
                  <w:b w:val="false"/>
                  <w:color w:val="0000FF"/>
                  <w:sz w:val="20"/>
                  <w:u w:val="single"/>
                </w:rPr>
                <w:t>42</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5.</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40">
              <w:r>
                <w:rPr>
                  <w:rStyle w:val="InternetLink"/>
                  <w:rFonts w:ascii="Tahoma;sans-serif" w:hAnsi="Tahoma;sans-serif"/>
                  <w:b w:val="false"/>
                  <w:color w:val="0000FF"/>
                  <w:sz w:val="20"/>
                  <w:u w:val="single"/>
                </w:rPr>
                <w:t>Market for Registrant's Common Equity, Related Stockholder Matters, and Issuer Purchases of Equity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40">
              <w:r>
                <w:rPr>
                  <w:rStyle w:val="InternetLink"/>
                  <w:rFonts w:ascii="Tahoma;sans-serif" w:hAnsi="Tahoma;sans-serif"/>
                  <w:b w:val="false"/>
                  <w:color w:val="0000FF"/>
                  <w:sz w:val="20"/>
                  <w:u w:val="single"/>
                </w:rPr>
                <w:t>43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6.</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43">
              <w:r>
                <w:rPr>
                  <w:rStyle w:val="InternetLink"/>
                  <w:rFonts w:ascii="Tahoma;sans-serif" w:hAnsi="Tahoma;sans-serif"/>
                  <w:b w:val="false"/>
                  <w:color w:val="0000FF"/>
                  <w:sz w:val="20"/>
                  <w:u w:val="single"/>
                </w:rPr>
                <w:t>[Reserved]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43">
              <w:r>
                <w:rPr>
                  <w:rStyle w:val="InternetLink"/>
                  <w:rFonts w:ascii="Tahoma;sans-serif" w:hAnsi="Tahoma;sans-serif"/>
                  <w:b w:val="false"/>
                  <w:color w:val="0000FF"/>
                  <w:sz w:val="20"/>
                  <w:u w:val="single"/>
                </w:rPr>
                <w:t>45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7.</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46">
              <w:r>
                <w:rPr>
                  <w:rStyle w:val="InternetLink"/>
                  <w:rFonts w:ascii="Tahoma;sans-serif" w:hAnsi="Tahoma;sans-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46">
              <w:r>
                <w:rPr>
                  <w:rStyle w:val="InternetLink"/>
                  <w:rFonts w:ascii="Tahoma;sans-serif" w:hAnsi="Tahoma;sans-serif"/>
                  <w:b w:val="false"/>
                  <w:color w:val="0000FF"/>
                  <w:sz w:val="20"/>
                  <w:u w:val="single"/>
                </w:rPr>
                <w:t>46</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7A.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82">
              <w:r>
                <w:rPr>
                  <w:rStyle w:val="InternetLink"/>
                  <w:rFonts w:ascii="Tahoma;sans-serif" w:hAnsi="Tahoma;sans-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82">
              <w:r>
                <w:rPr>
                  <w:rStyle w:val="InternetLink"/>
                  <w:rFonts w:ascii="Tahoma;sans-serif" w:hAnsi="Tahoma;sans-serif"/>
                  <w:b w:val="false"/>
                  <w:color w:val="0000FF"/>
                  <w:sz w:val="20"/>
                  <w:u w:val="single"/>
                </w:rPr>
                <w:t>63</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8.</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85">
              <w:r>
                <w:rPr>
                  <w:rStyle w:val="InternetLink"/>
                  <w:rFonts w:ascii="Tahoma;sans-serif" w:hAnsi="Tahoma;sans-serif"/>
                  <w:b w:val="false"/>
                  <w:color w:val="0000FF"/>
                  <w:sz w:val="20"/>
                  <w:u w:val="single"/>
                </w:rPr>
                <w:t>Financial Statements and Supplementary Data</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85">
              <w:r>
                <w:rPr>
                  <w:rStyle w:val="InternetLink"/>
                  <w:rFonts w:ascii="Tahoma;sans-serif" w:hAnsi="Tahoma;sans-serif"/>
                  <w:b w:val="false"/>
                  <w:color w:val="0000FF"/>
                  <w:sz w:val="20"/>
                  <w:u w:val="single"/>
                </w:rPr>
                <w:t>65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63">
              <w:r>
                <w:rPr>
                  <w:rStyle w:val="InternetLink"/>
                  <w:rFonts w:ascii="Tahoma;sans-serif" w:hAnsi="Tahoma;sans-serif"/>
                  <w:b w:val="false"/>
                  <w:color w:val="0000FF"/>
                  <w:sz w:val="20"/>
                  <w:u w:val="single"/>
                </w:rPr>
                <w:t>Changes In and Disagreements with Accountants on Accounting and Financial Disclosure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63">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9A.</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66">
              <w:r>
                <w:rPr>
                  <w:rStyle w:val="InternetLink"/>
                  <w:rFonts w:ascii="Tahoma;sans-serif" w:hAnsi="Tahoma;sans-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66">
              <w:r>
                <w:rPr>
                  <w:rStyle w:val="InternetLink"/>
                  <w:rFonts w:ascii="Tahoma;sans-serif" w:hAnsi="Tahoma;sans-serif"/>
                  <w:b w:val="false"/>
                  <w:color w:val="0000FF"/>
                  <w:sz w:val="20"/>
                  <w:u w:val="single"/>
                </w:rPr>
                <w:t>104</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9B.</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69">
              <w:r>
                <w:rPr>
                  <w:rStyle w:val="InternetLink"/>
                  <w:rFonts w:ascii="Tahoma;sans-serif" w:hAnsi="Tahoma;sans-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69">
              <w:r>
                <w:rPr>
                  <w:rStyle w:val="InternetLink"/>
                  <w:rFonts w:ascii="Tahoma;sans-serif" w:hAnsi="Tahoma;sans-serif"/>
                  <w:b w:val="false"/>
                  <w:color w:val="0000FF"/>
                  <w:sz w:val="20"/>
                  <w:u w:val="single"/>
                </w:rPr>
                <w:t>105</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9C.</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75">
              <w:r>
                <w:rPr>
                  <w:rStyle w:val="InternetLink"/>
                  <w:rFonts w:ascii="Tahoma;sans-serif" w:hAnsi="Tahoma;sans-serif"/>
                  <w:b w:val="false"/>
                  <w:color w:val="0000FF"/>
                  <w:sz w:val="20"/>
                  <w:u w:val="single"/>
                </w:rPr>
                <w:t>Disclosure Regarding Foreign Jurisdictions that Prevent Inspections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75">
              <w:r>
                <w:rPr>
                  <w:rStyle w:val="InternetLink"/>
                  <w:rFonts w:ascii="Tahoma;sans-serif" w:hAnsi="Tahoma;sans-serif"/>
                  <w:b w:val="false"/>
                  <w:color w:val="0000FF"/>
                  <w:sz w:val="20"/>
                  <w:u w:val="single"/>
                </w:rPr>
                <w:t>105</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III.</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10.</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81">
              <w:r>
                <w:rPr>
                  <w:rStyle w:val="InternetLink"/>
                  <w:rFonts w:ascii="Tahoma;sans-serif" w:hAnsi="Tahoma;sans-serif"/>
                  <w:b w:val="false"/>
                  <w:color w:val="0000FF"/>
                  <w:sz w:val="20"/>
                  <w:u w:val="single"/>
                </w:rPr>
                <w:t>Directors, Executive Officers and Corporate Governance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81">
              <w:r>
                <w:rPr>
                  <w:rStyle w:val="InternetLink"/>
                  <w:rFonts w:ascii="Tahoma;sans-serif" w:hAnsi="Tahoma;sans-serif"/>
                  <w:b w:val="false"/>
                  <w:color w:val="0000FF"/>
                  <w:sz w:val="20"/>
                  <w:u w:val="single"/>
                </w:rPr>
                <w:t>106</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11.</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84">
              <w:r>
                <w:rPr>
                  <w:rStyle w:val="InternetLink"/>
                  <w:rFonts w:ascii="Tahoma;sans-serif" w:hAnsi="Tahoma;sans-serif"/>
                  <w:b w:val="false"/>
                  <w:color w:val="0000FF"/>
                  <w:sz w:val="20"/>
                  <w:u w:val="single"/>
                </w:rPr>
                <w:t>Executive Compensation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84">
              <w:r>
                <w:rPr>
                  <w:rStyle w:val="InternetLink"/>
                  <w:rFonts w:ascii="Tahoma;sans-serif" w:hAnsi="Tahoma;sans-serif"/>
                  <w:b w:val="false"/>
                  <w:color w:val="0000FF"/>
                  <w:sz w:val="20"/>
                  <w:u w:val="single"/>
                </w:rPr>
                <w:t>106</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12.</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87">
              <w:r>
                <w:rPr>
                  <w:rStyle w:val="InternetLink"/>
                  <w:rFonts w:ascii="Tahoma;sans-serif" w:hAnsi="Tahoma;sans-serif"/>
                  <w:b w:val="false"/>
                  <w:color w:val="0000FF"/>
                  <w:sz w:val="20"/>
                  <w:u w:val="single"/>
                </w:rPr>
                <w:t>Security Ownership of Certain Beneficial Owners and Management and Related Stockholder Matters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87">
              <w:r>
                <w:rPr>
                  <w:rStyle w:val="InternetLink"/>
                  <w:rFonts w:ascii="Tahoma;sans-serif" w:hAnsi="Tahoma;sans-serif"/>
                  <w:b w:val="false"/>
                  <w:color w:val="0000FF"/>
                  <w:sz w:val="20"/>
                  <w:u w:val="single"/>
                </w:rPr>
                <w:t>106</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13.</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90">
              <w:r>
                <w:rPr>
                  <w:rStyle w:val="InternetLink"/>
                  <w:rFonts w:ascii="Tahoma;sans-serif" w:hAnsi="Tahoma;sans-serif"/>
                  <w:b w:val="false"/>
                  <w:color w:val="0000FF"/>
                  <w:sz w:val="20"/>
                  <w:u w:val="single"/>
                </w:rPr>
                <w:t>Certain Relationships and Related Transactions and Director Independence</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90">
              <w:r>
                <w:rPr>
                  <w:rStyle w:val="InternetLink"/>
                  <w:rFonts w:ascii="Tahoma;sans-serif" w:hAnsi="Tahoma;sans-serif"/>
                  <w:b w:val="false"/>
                  <w:color w:val="0000FF"/>
                  <w:sz w:val="20"/>
                  <w:u w:val="single"/>
                </w:rPr>
                <w:t>106</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14.</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93">
              <w:r>
                <w:rPr>
                  <w:rStyle w:val="InternetLink"/>
                  <w:rFonts w:ascii="Tahoma;sans-serif" w:hAnsi="Tahoma;sans-serif"/>
                  <w:b w:val="false"/>
                  <w:color w:val="0000FF"/>
                  <w:sz w:val="20"/>
                  <w:u w:val="single"/>
                </w:rPr>
                <w:t xml:space="preserve">Principal Accountant Fees and Services </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93">
              <w:r>
                <w:rPr>
                  <w:rStyle w:val="InternetLink"/>
                  <w:rFonts w:ascii="Tahoma;sans-serif" w:hAnsi="Tahoma;sans-serif"/>
                  <w:b w:val="false"/>
                  <w:color w:val="0000FF"/>
                  <w:sz w:val="20"/>
                  <w:u w:val="single"/>
                </w:rPr>
                <w:t>106</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PART IV.</w:t>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15.</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99">
              <w:r>
                <w:rPr>
                  <w:rStyle w:val="InternetLink"/>
                  <w:rFonts w:ascii="Tahoma;sans-serif" w:hAnsi="Tahoma;sans-serif"/>
                  <w:b w:val="false"/>
                  <w:color w:val="0000FF"/>
                  <w:sz w:val="20"/>
                  <w:u w:val="single"/>
                </w:rPr>
                <w:t>Exhibits and Financial Statement Schedules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99">
              <w:r>
                <w:rPr>
                  <w:rStyle w:val="InternetLink"/>
                  <w:rFonts w:ascii="Tahoma;sans-serif" w:hAnsi="Tahoma;sans-serif"/>
                  <w:b w:val="false"/>
                  <w:color w:val="0000FF"/>
                  <w:sz w:val="20"/>
                  <w:u w:val="single"/>
                </w:rPr>
                <w:t>107</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Item 16.</w:t>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202">
              <w:r>
                <w:rPr>
                  <w:rStyle w:val="InternetLink"/>
                  <w:rFonts w:ascii="Tahoma;sans-serif" w:hAnsi="Tahoma;sans-serif"/>
                  <w:b w:val="false"/>
                  <w:color w:val="0000FF"/>
                  <w:sz w:val="20"/>
                  <w:u w:val="single"/>
                </w:rPr>
                <w:t>Form 10-K Summary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202">
              <w:r>
                <w:rPr>
                  <w:rStyle w:val="InternetLink"/>
                  <w:rFonts w:ascii="Tahoma;sans-serif" w:hAnsi="Tahoma;sans-serif"/>
                  <w:b w:val="false"/>
                  <w:color w:val="0000FF"/>
                  <w:sz w:val="20"/>
                  <w:u w:val="single"/>
                </w:rPr>
                <w:t>111</w:t>
              </w:r>
            </w:hyperlink>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205">
              <w:r>
                <w:rPr>
                  <w:rStyle w:val="InternetLink"/>
                  <w:rFonts w:ascii="Tahoma;sans-serif" w:hAnsi="Tahoma;sans-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205">
              <w:r>
                <w:rPr>
                  <w:rStyle w:val="InternetLink"/>
                  <w:rFonts w:ascii="Tahoma;sans-serif" w:hAnsi="Tahoma;sans-serif"/>
                  <w:b w:val="false"/>
                  <w:color w:val="0000FF"/>
                  <w:sz w:val="20"/>
                  <w:u w:val="single"/>
                </w:rPr>
                <w:t>112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53670"/>
                <wp:effectExtent l="0" t="0" r="0" b="0"/>
                <wp:wrapNone/>
                <wp:docPr id="4" name="Frame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 Business.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Overview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Appian Corporation (together with its subsidiaries, “Appian,” “the Company,” “we,” or “our”) provides process automation technology. For over 25 years, our highly reliable and scalable platform has been leveraged by large enterprises and governments. Combining leading edge process orchestration and intelligence, we provide everything an organization needs to design, automate, and optimize critical processes, facilitating continuous adaptation in changing environments.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market for process automation is large and growing. According to IDC, the worldwide Business Automation Platform market was $27.8 billion in 2024 and is expected to grow to approximately $70.2 billion in 2029.</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Core Capabilities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Appian provides capabilities to tackle any process challenge. These capabilities are unified and scalable, meeting enterprise demands and easy to change as requirements evolve. </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Comprehensive Automation Platform.</w:t>
      </w:r>
      <w:r>
        <w:rPr>
          <w:color w:val="000000"/>
        </w:rPr>
        <w:t xml:space="preserve"> </w:t>
      </w:r>
      <w:r>
        <w:rPr>
          <w:rFonts w:ascii="Tahoma;sans-serif" w:hAnsi="Tahoma;sans-serif"/>
          <w:b w:val="false"/>
          <w:color w:val="000000"/>
          <w:sz w:val="20"/>
        </w:rPr>
        <w:t>The Appian platform provides a complete set of features and tools, allowing our customers to apply the right tool to each step of their process. Our capabilities include business rules engines, pre-built connections, Application Program Interface (API) integrations, intelligent document processing (IDP), robotic process automation (RPA), and artificial intelligence (AI).</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Unified Data Fabric.</w:t>
      </w:r>
      <w:r>
        <w:rPr>
          <w:color w:val="000000"/>
        </w:rPr>
        <w:t xml:space="preserve"> </w:t>
      </w:r>
      <w:r>
        <w:rPr>
          <w:rFonts w:ascii="Tahoma;sans-serif" w:hAnsi="Tahoma;sans-serif"/>
          <w:b w:val="false"/>
          <w:color w:val="000000"/>
          <w:sz w:val="20"/>
        </w:rPr>
        <w:t>Appian’s patented data fabric is an integrated layer that unifies data across the enterprise without requiring companies to migrate their data, eliminating the need for additional systems and tools and accelerating time to insight. Our data fabric allows every worker, system, and agent to have the context it needs to act with confidence.</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Enterprise-Grade Controls.</w:t>
      </w:r>
      <w:r>
        <w:rPr>
          <w:color w:val="000000"/>
        </w:rPr>
        <w:t xml:space="preserve"> </w:t>
      </w:r>
      <w:r>
        <w:rPr>
          <w:rFonts w:ascii="Tahoma;sans-serif" w:hAnsi="Tahoma;sans-serif"/>
          <w:b w:val="false"/>
          <w:color w:val="000000"/>
          <w:sz w:val="20"/>
        </w:rPr>
        <w:t>Appian delivers best-in-class security, auditability, and enterprise guardrails to support even the most mission critical workloads and most sensitive and confidential data. In addition, Appian provides process mining functionality that allows organizations to identify bottlenecks and compliance risks.</w:t>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Interactive Design.</w:t>
      </w:r>
      <w:r>
        <w:rPr>
          <w:color w:val="000000"/>
        </w:rPr>
        <w:t xml:space="preserve"> </w:t>
      </w:r>
      <w:r>
        <w:rPr>
          <w:rFonts w:ascii="Tahoma;sans-serif" w:hAnsi="Tahoma;sans-serif"/>
          <w:b w:val="false"/>
          <w:color w:val="000000"/>
          <w:sz w:val="20"/>
        </w:rPr>
        <w:t>Our visual design tools allows business users, technical experts, and implementation specialists to collaborate on the automation, improvement, and streamlining of existing processes, assisted by AI. This iterative process continues after the initial implementation, allowing our customers to seamlessly evolve and optimize their processes over 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Implementation Excellence.</w:t>
      </w:r>
      <w:r>
        <w:rPr>
          <w:color w:val="000000"/>
        </w:rPr>
        <w:t xml:space="preserve"> </w:t>
      </w:r>
      <w:r>
        <w:rPr>
          <w:rFonts w:ascii="Tahoma;sans-serif" w:hAnsi="Tahoma;sans-serif"/>
          <w:b w:val="false"/>
          <w:color w:val="000000"/>
          <w:sz w:val="20"/>
        </w:rPr>
        <w:t>Appian has an elite team of implementation and process specialists with a 25-year track record of partnering with our customers to ensure the success of their applications.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Approach to AI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Advances in AI offer the promise of unprecedented innovation in business productivity. Despite this potential, currently most business implementations of AI fail, and the technology is frequently sidelined as an assistant rather than integrated as a digital worker within core business operations. This presents a unique opportunity for Appian, since we provide the process framework that organizations need to drive value from AI investments.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that in order to fully realize the value of AI, organizations need to embed AI capabilities directly into workflows. To be effective, AI requires strict controls and defined guardrails that eliminate errors and hallucinations, ensuring AI activities are guided by organizational policies and regulations. As a leader in process automation, we provide the tools and guardrails necessary for AI to deliver repeatable and scalable business value.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impact of AI also depends on data. Without proprietary data, AI lacks the internal context necessary to help solve specific business problems. Most enterprises today struggle to provide AI with relevant data across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53670"/>
                <wp:effectExtent l="0" t="0" r="0" b="0"/>
                <wp:wrapNone/>
                <wp:docPr id="5" name="Frame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systems, while still ensuring privacy and maintaining access privileges. Our data fabric is designed to provide the data AI needs, grant secure and performant access to information from across the enterprise, and obviate the need for complex and slow data migrations.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Go-to-Market Strategy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go-to-market strategy consists of both direct sales and sales through strategic partners. We sell our software almost exclusively as subscriptions. We grow our revenue by adding new customers, increasing the user base of existing customers, and expanding product usage across customers through new business processes and applications. Our strategic partners work with organizations undergoing process automation projects, and when they recognize an opportunity for our platform, they often introduce us to potential customers.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Many of our customers begin by building a single application and grow to create dozens of applications on our platform, which implicitly increases their return on investment. Generally, the development of new applications results in the expansion of our product usage within an organization and a corresponding increase in our revenue due to subscription fees. Every additional application an organization creates on our platform increases the value of our platform for that organization because it further integrates people, processes, and data and facilitates knowledge sharing. Applications built on our platform may be used only on our platform and only while customers have active subscriptions, creating a substantial incentive for customers to avoid the difficulties and costs associated with moving to a different software platform. At the same time, our industry-leading professional services team helps customers build and deploy applications on our platform to achieve their process automation goals more quickly.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Growth Strategy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Key elements of our growth strategy include:</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Expand our customer base.</w:t>
      </w:r>
      <w:r>
        <w:rPr>
          <w:color w:val="000000"/>
        </w:rPr>
        <w:t xml:space="preserve"> </w:t>
      </w:r>
      <w:r>
        <w:rPr>
          <w:rFonts w:ascii="Tahoma;sans-serif" w:hAnsi="Tahoma;sans-serif"/>
          <w:b w:val="false"/>
          <w:color w:val="000000"/>
          <w:sz w:val="20"/>
        </w:rPr>
        <w:t>We continue to grow our customer base in various industries, including financial services, government, life sciences, insurance, manufacturing, energy, healthcare, telecommunications, and transportation. We believe the market for our platform is still in its early stages, and we have a significant opportunity to add additional large enterprise and government customers globally. We also have a strong ecosystem of strategic partners that help identify new customer opportunities for us.</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 xml:space="preserve">Grow revenue from key industry verticals. </w:t>
      </w:r>
      <w:r>
        <w:rPr>
          <w:rFonts w:ascii="Tahoma;sans-serif" w:hAnsi="Tahoma;sans-serif"/>
          <w:b w:val="false"/>
          <w:color w:val="000000"/>
          <w:sz w:val="20"/>
        </w:rPr>
        <w:t xml:space="preserve">While our platform is industry-agnostic, we continue to make investments to enhance the expertise of our sales and marketing organization within our key industry verticals of financial services, government, life sciences, insurance, and manufacturing. In 2025, we generated approximately 80% of our subscriptions revenue from customers in these verticals. In addition, we offer pre-built solutions in certain of these industries to facilitate customer use cases. </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Continue to innovate and enhance our platform</w:t>
      </w:r>
      <w:r>
        <w:rPr>
          <w:rFonts w:ascii="Tahoma;sans-serif" w:hAnsi="Tahoma;sans-serif"/>
          <w:b/>
          <w:color w:val="000000"/>
          <w:sz w:val="20"/>
        </w:rPr>
        <w:t>.</w:t>
      </w:r>
      <w:r>
        <w:rPr>
          <w:color w:val="000000"/>
        </w:rPr>
        <w:t xml:space="preserve"> </w:t>
      </w:r>
      <w:r>
        <w:rPr>
          <w:rFonts w:ascii="Tahoma;sans-serif" w:hAnsi="Tahoma;sans-serif"/>
          <w:b w:val="false"/>
          <w:color w:val="000000"/>
          <w:sz w:val="20"/>
        </w:rPr>
        <w:t>We continue to invest in research and development to strengthen our platform and expand the number of features available to our customers. We offer multiple upgrades each year that allow our customers to benefit from ongoing innovation. As we continue to increase the functionality of our platform and further reduce the amount of developer skill required to quickly deliver value for our customers, we believe we have the potential to expand the use of our platform.</w:t>
      </w:r>
    </w:p>
    <w:p>
      <w:pPr>
        <w:pStyle w:val="TextBody"/>
        <w:bidi w:val="0"/>
        <w:spacing w:lineRule="auto" w:line="288" w:before="0" w:after="120"/>
        <w:ind w:left="0" w:right="0" w:hanging="360"/>
        <w:jc w:val="left"/>
        <w:rPr/>
      </w:pPr>
      <w:r>
        <w:rPr>
          <w:color w:val="000000"/>
        </w:rPr>
        <w:t>•</w:t>
      </w:r>
      <w:r>
        <w:rPr>
          <w:rFonts w:ascii="Tahoma;sans-serif" w:hAnsi="Tahoma;sans-serif"/>
          <w:b/>
          <w:i/>
          <w:color w:val="000000"/>
          <w:sz w:val="20"/>
        </w:rPr>
        <w:t xml:space="preserve">Expand our international footprint. </w:t>
      </w:r>
      <w:r>
        <w:rPr>
          <w:rFonts w:ascii="Tahoma;sans-serif" w:hAnsi="Tahoma;sans-serif"/>
          <w:b w:val="false"/>
          <w:color w:val="000000"/>
          <w:sz w:val="20"/>
        </w:rPr>
        <w:t>Our platform is designed to be natively multilingual to facilitate collaboration and address challenges in multinational organizations. Appian Cloud meets the data residency requirements of our global customers by operating in 16 countries across 39 regions and 123 availability zones. In 2025, approximately 38% of our total revenue was</w:t>
      </w:r>
      <w:r>
        <w:rPr>
          <w:color w:val="000000"/>
        </w:rPr>
        <w:t xml:space="preserve"> </w:t>
      </w:r>
      <w:r>
        <w:rPr>
          <w:rFonts w:ascii="Tahoma;sans-serif" w:hAnsi="Tahoma;sans-serif"/>
          <w:b w:val="false"/>
          <w:color w:val="000000"/>
          <w:sz w:val="20"/>
        </w:rPr>
        <w:t>generated from customers outside of the United States. We believe we have a significant opportunity to continue to grow our international footprint. We are investing in new geographies through direct and indirect sales channels, professional services and customer support, and implementation partners.</w:t>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 xml:space="preserve">Leverage our partner base. </w:t>
      </w:r>
      <w:r>
        <w:rPr>
          <w:rFonts w:ascii="Tahoma;sans-serif" w:hAnsi="Tahoma;sans-serif"/>
          <w:b w:val="false"/>
          <w:color w:val="000000"/>
          <w:sz w:val="20"/>
        </w:rPr>
        <w:t xml:space="preserve">We have a number of strategic partnerships with companies, including Accenture, Capgemini, Deloitte, Indra Group, KPMG, and PwC. These partners work with organizations undergoing process automation projects. When they recognize an opportunity for our platform,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53670"/>
                <wp:effectExtent l="0" t="0" r="0" b="0"/>
                <wp:wrapNone/>
                <wp:docPr id="6" name="Frame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introduce us to potential customers. Additionally, they often go to market with their own pre-built solutions using our platform, delivering software license revenue to Appian. We intend to further leverage our base of partners to provide broader customer coverage and solution delivery capabilities.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 xml:space="preserve">Accelerate adoption of AI. </w:t>
      </w:r>
      <w:r>
        <w:rPr>
          <w:rFonts w:ascii="Tahoma;sans-serif" w:hAnsi="Tahoma;sans-serif"/>
          <w:b w:val="false"/>
          <w:i/>
          <w:color w:val="000000"/>
          <w:sz w:val="20"/>
        </w:rPr>
        <w:t>O</w:t>
      </w:r>
      <w:r>
        <w:rPr>
          <w:rFonts w:ascii="Tahoma;sans-serif" w:hAnsi="Tahoma;sans-serif"/>
          <w:b w:val="false"/>
          <w:color w:val="000000"/>
          <w:sz w:val="20"/>
        </w:rPr>
        <w:t>ur customers are looking to generate tangible business value from their investment in AI and are increasingly turning to Appian to achieve that goal. We offer them a range of AI capabilities, ranging from AI-enhanced document processing to autonomous agents capable of acting in dynamic environments. In addition, our professional services organization provides our customers with expertise in AI implementation, in an effort to ensure that their AI applications achieve desired accuracy and security goals. By utilizing our organizational capacity, we will leverage AI to drive increased usage of our platform.</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Human Capital Resources and Management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Employees, Culture, and Labor Relations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distinct culture of innovation is an important contributor to our success as a company. We promote an inclusive environment where our employees can contribute their unique perspectives to help create transformative solutions for our customers. Our culture was purposefully cultivated by our four founders, who are still heavily involved in operating our business. Led by Matt Calkins, Founder and Chief Executive Officer, we have grown our business organically by employing a unified team to maximize the cohesion and simplicity of our platform and our company.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we had a total global workforce of 2,149 employees, 1,383 of which were based in the United States. None of our U.S. employees are covered by collective bargaining agreements. We believe our employee relations are good, and we have not experienced any work stoppages. Additionally, we are subject to, and comply with, local labor law requirements in all countries in which we operate.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Excellence and Intensity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We have two foundational values, the most important qualities that an Appian person must have: Excellence and Intensity. Every hiring decision, promotion, and public commendation is based on these values. Excellence means we have high standards, and we live up to them. Everything Appian does is done well. Intensity means we’re all-in. We’re ambitious. We bring our full self to work and our full commitment. We care about the outcome. We take the results of our work personally. We assert ourselves. We hold people to account, even if it’s uncomfortable because we take pride in our team’s work. Raising the bar is part of being a leader at Appian.     </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Belonging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respect all people. We believe diverse ideas and an inclusive environment are paramount to our continued success. We also believe our individual experiences and knowledge enable us to learn from one another and discover creative solutions. We sponsor a number of affinity groups, initiated by employees, that aim to build stronger internal and external networks and partnerships, create a positive lasting impact through social and educational outreach, and create development opportunities for future leaders.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Talent Acquisition and Development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robust talent acquisition program to attract, recruit, and retain new talent. We utilize an extensive campus recruiting program, provide an employee referral program, and offer opportunities for internal transfers, as well as competitive compensation and benefits programs. We also provide resources to help our employees grow in their current roles and build new skills, including access to Appian University, a system that houses Appian's in-house learning and development solutions.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Sales and Marketing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53670"/>
                <wp:effectExtent l="0" t="0" r="0" b="0"/>
                <wp:wrapNone/>
                <wp:docPr id="7" name="Frame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sales and marketing teams work together closely to market and sell our software platform and services. We sell to enterprises across a range of industries, including government, financial services, insurance, and life sciences. Our sales organization includes enterprise account executives, solution consultants, and professional services representatives and is supported by a robust partner ecosystem of global systems integrators, technology partners, and resellers. We are dedicated to the success of Appian customers, investing in post-sales professional services initiatives to ensure adoption, satisfaction, and expanded use over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 drive awareness and adoption of our platform, we execute a comprehensive marketing strategy that includes digital marketing, customer advocacy programs, industry analyst and press relations, thought leadership initiatives, digital events, industry conferences, tradeshows, and regional events. Our flagship annual event, Appian World, brings together customers, partners, and industry leaders to showcase innovations, share best practices, and highlight the business impact of Appian. Additionally, we engage with our developer community through our Appian Community as well as hackathons, user groups, and technical education programs designed to accelerate application development and foster platform expertise.</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Facilities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2025, we lease our headquarters office in McLean, Virginia, and we also have six leased offices in cities outside the United States. In addition to our leased offices, we occupied eight flexible workspaces. Our use of flexible workspaces is dependent upon our current business needs. We believe our facilities are adequate to meet our ongoing needs, including substantial rights to expand within certain properties we lease. If we require additional space in the future, we believe we will be able to obtain additional facilities on commercially reasonable terms. </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historically experienced seasonality in terms of when we enter into agreements with customers. See “Seasonality - Management Discussion and Analysis Financial Condition and Results of Operations” for a discussion of the seasonality of our business.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Our Customers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customers operate in various industries, including financial services, government, life sciences, insurance, manufacturing, energy, healthcare, telecommunications, and transportation. Generally, our sales team targets its efforts to organizations with over 2,000 employees and $2 billion in annual revenue. In 2025, we refined our definition of a customer to better align with revenue-generating units. Commercial customers are now aggregated at the ultimate parent level, U.S. governmental entities are aggregated at the cabinet plus one level, and non-U.S. governmental entities are aggregated at the cabinet or ministry level. Prior period customer counts have been recasted for consistency purposes.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Under our new methodology, the number of customers paying us in excess of $1 million of annual recurring revenue has grown from 115 at the end of 2024 to 140 at the end of 2025. No single end customer accounted for more than 10% of our total revenue in 2025, 2024, or 2023.</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Competition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main competitors fall into four categories: (1) providers of custom software solutions that address, or are developed to address, some of the use cases that applications developed on our platform target; (2) providers of development platforms; (3) providers of one or more automation technologies, including business process management, case management, process mining, and robotic process automation; and (4) potential customers using their own internal technology departments to develop, build, and modify their own proprietary systems.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our market grows, we expect it will attract more highly specialized vendors as well as larger vendors that may continue to acquire or bundle their products more effectively. The principal competitive factors in our market include: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53670"/>
                <wp:effectExtent l="0" t="0" r="0" b="0"/>
                <wp:wrapNone/>
                <wp:docPr id="8" name="Frame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Platform features, reliability, performance, and effectiveness;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Ease of use and speed;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Data fabric;</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AI;</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Platform extensibility and ability to integrate with other technology infrastructures;</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Deployment flexibility;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Robustness of professional services and customer support;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Price and total cost of ownership;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Strength of platform security and adherence to industry standards and certifications; </w:t>
      </w:r>
    </w:p>
    <w:p>
      <w:pPr>
        <w:pStyle w:val="TextBody"/>
        <w:bidi w:val="0"/>
        <w:spacing w:lineRule="auto" w:line="288" w:before="0" w:after="120"/>
        <w:ind w:left="0" w:right="0" w:hanging="360"/>
        <w:jc w:val="left"/>
        <w:rPr/>
      </w:pPr>
      <w:r>
        <w:rPr>
          <w:color w:val="000000"/>
        </w:rPr>
        <w:t>•</w:t>
      </w:r>
      <w:r>
        <w:rPr>
          <w:rFonts w:ascii="Tahoma;sans-serif" w:hAnsi="Tahoma;sans-serif"/>
          <w:b w:val="false"/>
          <w:color w:val="000000"/>
          <w:sz w:val="20"/>
        </w:rPr>
        <w:t xml:space="preserve">Strength of sales and marketing efforts; and </w:t>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 xml:space="preserve">Brand awareness and reputation.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we generally compete favorably with our peer group with respect to the features, security, and performance of our platform, the ease of integration of our applications, and the relatively low total cost of ownership of our applications.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Intellectual Property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depends in part upon our ability to protect our core technology and intellectual property. We rely on patents, trademarks, copyrights, trade secret laws, confidentiality procedures, and employee disclosure and invention assignment agreements to protect our intellectual property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we had 28 granted patents and 21 patents pending related to our platform and its technology. None of our issued patents expire before 2034. We cannot provide complete assurance that any of our patent applications will result in the issuance of a patent or that the examination process will not require us to narrow our claims. Any patents we may be issued may be contested, circumvented, found unenforceable, or invalidated, and we may not be able to prevent third parties from infringing them. We also license software from third parties for integration into our products, including open source software and other software available on commercially reasonable terms. We control access to and use of our proprietary software and other confidential information through the use of internal and external controls, including contractual protections with employees, contractors, end customers, and partners, and our software is protected by U.S. and international copyright and trade secret laws.</w:t>
      </w:r>
    </w:p>
    <w:p>
      <w:pPr>
        <w:pStyle w:val="TextBody"/>
        <w:bidi w:val="0"/>
        <w:spacing w:before="0" w:after="0"/>
        <w:ind w:left="0" w:right="0" w:firstLine="360"/>
        <w:jc w:val="both"/>
        <w:rPr/>
      </w:pPr>
      <w:r>
        <w:rPr/>
      </w:r>
    </w:p>
    <w:p>
      <w:pPr>
        <w:pStyle w:val="TextBody"/>
        <w:bidi w:val="0"/>
        <w:spacing w:lineRule="auto" w:line="288" w:before="0" w:after="0"/>
        <w:jc w:val="both"/>
        <w:rPr>
          <w:rFonts w:ascii="Tahoma;sans-serif" w:hAnsi="Tahoma;sans-serif"/>
          <w:b/>
          <w:color w:val="000000"/>
          <w:sz w:val="20"/>
        </w:rPr>
      </w:pPr>
      <w:r>
        <w:rPr>
          <w:rFonts w:ascii="Tahoma;sans-serif" w:hAnsi="Tahoma;sans-serif"/>
          <w:b/>
          <w:color w:val="000000"/>
          <w:sz w:val="20"/>
        </w:rPr>
        <w:t>Corporate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A common stock is listed on the Nasdaq Global Market under the symbol “APPN.”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corporate headquarters is located at 7950 Jones Branch Drive, McLean, Virginia 22102, and our telephone number is (703) 442-8844.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color w:val="000000"/>
        </w:rPr>
      </w:pPr>
      <w:r>
        <w:rPr>
          <w:color w:val="000000"/>
        </w:rPr>
        <w:t>“</w:t>
      </w:r>
      <w:r>
        <w:rPr>
          <w:rFonts w:ascii="Tahoma;sans-serif" w:hAnsi="Tahoma;sans-serif"/>
          <w:b w:val="false"/>
          <w:color w:val="000000"/>
          <w:sz w:val="20"/>
        </w:rPr>
        <w:t>Appian,” the Appian logo, and other trademarks or service marks of Appian Corporation appearing in this Annual Report on Form 10-K are the property of Appian Corporation. This Annual Report on Form 10-K contains additional trade names, trademarks, and service marks of others, which are the property of their respective owners. Solely for convenience, trademarks and trade names referred to in this Annual Report on Form 10-K exclude the ® or TM symbols.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53670"/>
                <wp:effectExtent l="0" t="0" r="0" b="0"/>
                <wp:wrapNone/>
                <wp:docPr id="9" name="Frame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Available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Our website address is </w:t>
      </w:r>
      <w:r>
        <w:rPr>
          <w:rFonts w:ascii="Tahoma;sans-serif" w:hAnsi="Tahoma;sans-serif"/>
          <w:b w:val="false"/>
          <w:i/>
          <w:color w:val="000000"/>
          <w:sz w:val="20"/>
        </w:rPr>
        <w:t>www.appian.com</w:t>
      </w:r>
      <w:r>
        <w:rPr>
          <w:rFonts w:ascii="Tahoma;sans-serif" w:hAnsi="Tahoma;sans-serif"/>
          <w:b w:val="false"/>
          <w:color w:val="000000"/>
          <w:sz w:val="20"/>
        </w:rPr>
        <w:t>. Our Annual Report on Form 10-K, Quarterly Reports on Form 10-Q, Current Reports on Form 8-K, and amendments to reports filed pursuant to Sections 13(a) and 15(d) of the Exchange Act are made available free of charge on or through our website at</w:t>
      </w:r>
      <w:r>
        <w:rPr>
          <w:color w:val="000000"/>
        </w:rPr>
        <w:t> </w:t>
      </w:r>
      <w:r>
        <w:rPr>
          <w:rFonts w:ascii="Tahoma;sans-serif" w:hAnsi="Tahoma;sans-serif"/>
          <w:b w:val="false"/>
          <w:i/>
          <w:color w:val="000000"/>
          <w:sz w:val="20"/>
        </w:rPr>
        <w:t>investors.appian.com</w:t>
      </w:r>
      <w:r>
        <w:rPr>
          <w:color w:val="000000"/>
        </w:rPr>
        <w:t> </w:t>
      </w:r>
      <w:r>
        <w:rPr>
          <w:rFonts w:ascii="Tahoma;sans-serif" w:hAnsi="Tahoma;sans-serif"/>
          <w:b w:val="false"/>
          <w:color w:val="000000"/>
          <w:sz w:val="20"/>
        </w:rPr>
        <w:t>as soon as reasonably practicable after such reports are filed with, or furnished to, the United States Securities and Exchange Commission, or SEC.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53670"/>
                <wp:effectExtent l="0" t="0" r="0" b="0"/>
                <wp:wrapNone/>
                <wp:docPr id="10" name="Frame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90"/>
        <w:jc w:val="left"/>
        <w:rPr>
          <w:rFonts w:ascii="Tahoma;sans-serif" w:hAnsi="Tahoma;sans-serif"/>
          <w:b/>
          <w:color w:val="000000"/>
          <w:sz w:val="20"/>
        </w:rPr>
      </w:pPr>
      <w:r>
        <w:rPr>
          <w:rFonts w:ascii="Tahoma;sans-serif" w:hAnsi="Tahoma;sans-serif"/>
          <w:b/>
          <w:color w:val="000000"/>
          <w:sz w:val="20"/>
        </w:rPr>
        <w:t>Forward-Looking Statements</w:t>
      </w:r>
    </w:p>
    <w:p>
      <w:pPr>
        <w:pStyle w:val="TextBody"/>
        <w:bidi w:val="0"/>
        <w:spacing w:before="0" w:after="0"/>
        <w:ind w:left="0" w:right="0" w:hanging="9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or the Securities Act, and Section 21E of the Securities Exchange Act of 1934, as amended, or the Exchange Act. In some cases, forward-looking statements can be identified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 </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Our market opportunity and the expansion of our core software markets in general;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opportunity and disruptive impact of AI;</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effects of increased competition as well as innovations by new and existing competitors in our market;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adapt to technological change and effectively enhance, innovate, and scale our platform and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effectively manage or sustain our growth and to maintain profitability;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Potential acquisitions and integration of complementary businesses and technologies;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maintain, or strengthen awareness of, our brand;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Perceived or actual problems with the integrity, reliability, quality, or compatibility of our platform, including unscheduled downtime or outages;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anticipated expansion of the usage of partners to perform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macroeconomic conditions, including fluctuating interest rates and inflation, slower growth or recession, and geopolitical turmoil;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Future revenue, hiring plans, expenses, capital expenditures, capital requirements, and stock performance;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attract and retain qualified employees and key personnel and manage our overall headcount;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expected benefits to our clients and potential clients of our product and service offerings;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The timing of revenue recognition under license and cloud arrangements;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backlog of license, maintenance, cloud, and services agreements and the timing of future cash receipts from committed license and cloud arrangements;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expectation that cost of revenue, sales and marketing expenses, research and development expenses, and general and administrative expenses will continue to increase in absolute dollar values;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fluctuation of subscriptions gross margin and professional services gross margin over time;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stay abreast of new or modified laws and regulations that currently apply or become applicable to our business both in the United States and internationally;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collect on the judgment preservation insurance;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Our ability to maintain, protect, and enhance our intellectual property; and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Costs associated with defending intellectual property infringement and other claims.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53670"/>
                <wp:effectExtent l="0" t="0" r="0" b="0"/>
                <wp:wrapNone/>
                <wp:docPr id="11" name="Frame1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implied by such forward-looking statements. Factors that could cause or contribute to such differences include, but are not limited to, those discussed in the section titled “Risk Factors” included under Part I, Item 1A. Furthermore, such forward-looking statements speak only as of the date of this report. Except as required by law, we undertake no obligation to update any forward-looking statements to reflect events or circumstances that occur after the date of this report.</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Risk Factors Summary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Class A common stock include, but are not necessarily limited to, the following:</w:t>
      </w:r>
    </w:p>
    <w:p>
      <w:pPr>
        <w:pStyle w:val="TextBody"/>
        <w:bidi w:val="0"/>
        <w:spacing w:before="0" w:after="0"/>
        <w:ind w:left="0" w:right="0" w:firstLine="36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are unable to sustain our revenue growth rate, we may not be able to achieve or maintain profitability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not be able to scale our business quickly enough to meet our customers’ growing needs, and if we are not able to grow efficiently, our operating results could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dependent on a single product, and the lack of continued market acceptance of our platform could cause our operating results to suffer.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currently face significant competition.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In the past, we have experienced significant corporate growth, which may not be indicative of our future growth and, if we grow in the future, we may not be able to manage our growth effectively.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If our security measures are actually or perceived to have been breached, or if unauthorized access to our platform or customer data occurs, our platform may be perceived as not being secure, and customers may reduce the use of or stop using our platform, and we may incur significant liabilities.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derive a significant portion of our revenue from a limited number of customers, and the loss of one or more of these customers could materially and adversely impact our business, results of operations, and financial condition.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 portion of our revenue is generated from subscriptions sold to governmental entities and heavily regulated organizations, which are subject to a number of challenges and risks.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have experienced losses in the past, and we may not be able to sustain profitability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AI is a disruptive set of technologies that may affect the markets for our software dramatically and in unpredictable ways.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do not continue to innovate and provide a platform that is useful to our customers, we may not remain competitive, and our revenue and operating results could suffer.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substantially dependent upon customer renewals, the addition of new customers, and the continued growth of our subscriptions revenue.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Because we generally recognize revenue from cloud subscriptions ratably over the term of the subscription agreement, near-term changes in sales may not be reflected immediately in our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not continue to achieve market acceptance of our pre-built solutions, which may adversely affect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53670"/>
                <wp:effectExtent l="0" t="0" r="0" b="0"/>
                <wp:wrapNone/>
                <wp:docPr id="12" name="Frame1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our platform fails to perform properly or there are defects or disruptions in the rollout of our platform updates or enhancements, our reputation could be adversely affected, our market share could decline, and we could be subject to liability claims.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rely upon AWS to operate our cloud offering; any disruption of or interference with our use of AWS would adversely affect our business, results of operations, and financial condition.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growth depends in part on the success of our strategic relationships with third parties.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employ third-party licensed software for use in or with our software, and the inability to maintain these licenses or errors in the software we license could result in increased costs or reduced service levels, which would adversely affect our business.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do not or cannot maintain the compatibility of our platform with third-party applications that our customers use in their businesses, our revenue will decline.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Because we collect and store personal information, domestic and international privacy and security concerns could result in additional costs and liabilities to us, inhibit sales of our software, and subject us to complex and evolving federal, state, and foreign laws and regulations regarding privacy, data protection, and other related matters.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our platform fails to function in a manner allowing our customers to operate in compliance with regulations and/or industry standards, our revenue and operating results could be harmed.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Any failure to protect our proprietary technology and intellectual property rights could substantially harm our business and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Portions of our platform utilize open source software, and any failure to comply with the terms of one or more of these open source licenses could negatively affect our business.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use net operating losses to offset future taxable income may be subject to certain limitations.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dual class structure of our common stock and the existing ownership of capital stock by Matt Calkins, our founder and Chief Executive Officer, has the effect of concentrating voting control with Mr. Calkins for the foreseeable future, which will limit the ability of others to influence corporate matters.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Class A common stock.</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stock price has been volatile and may be volatile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53670"/>
                <wp:effectExtent l="0" t="0" r="0" b="0"/>
                <wp:wrapNone/>
                <wp:docPr id="13" name="Frame1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1A. Risk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Our operations and financial results are subject to various risks and uncertainties including those described below and other information contained in this Annual Report on Form 10-K. The risks and uncertainties described below are not the only ones we face. Additional risks and uncertainties we are unaware of, or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and the trading price of our Class A common stock could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Business and Industry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are unable to sustain our revenue growth rate, we may not be able to maintain profitability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revenue growth with revenue of $726.9 million, $617.0 million, and $545.4 million in 2025, 2024, and 2023, respectively. Although we have experienced rapid revenue growth historically, we may not continue to grow as rapidly in the future, and our revenue growth rates may decline. Any success we may experience in the future will depend in large part on our ability to, among other things: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color w:val="000000"/>
        </w:rPr>
        <w:t>•</w:t>
      </w:r>
      <w:r>
        <w:rPr>
          <w:rFonts w:ascii="Tahoma;sans-serif" w:hAnsi="Tahoma;sans-serif"/>
          <w:b w:val="false"/>
          <w:color w:val="000000"/>
          <w:sz w:val="20"/>
        </w:rPr>
        <w:t>Maintain and expand our customer base;</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Increase revenue from existing customers through increased or broader use of our platform within their organizations;</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Compete in an AI-accelerated environment;</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Further penetrate the existing industry verticals we serve and expand into other industry verticals; and</w:t>
      </w:r>
    </w:p>
    <w:p>
      <w:pPr>
        <w:pStyle w:val="TextBody"/>
        <w:bidi w:val="0"/>
        <w:spacing w:lineRule="auto" w:line="288" w:before="120" w:after="283"/>
        <w:ind w:left="0" w:right="0" w:firstLine="360"/>
        <w:jc w:val="left"/>
        <w:rPr/>
      </w:pPr>
      <w:r>
        <w:rPr>
          <w:color w:val="000000"/>
        </w:rPr>
        <w:t>•</w:t>
      </w:r>
      <w:r>
        <w:rPr>
          <w:rFonts w:ascii="Tahoma;sans-serif" w:hAnsi="Tahoma;sans-serif"/>
          <w:b w:val="false"/>
          <w:color w:val="000000"/>
          <w:sz w:val="20"/>
        </w:rPr>
        <w:t>Continue to successfully expand our business domestically and internationally.</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we are unable to maintain consistent revenue or revenue growth, our stock price could be volatile. Our revenue for any prior quarterly or annual periods should not be relied upon as any indication of our future revenue or revenue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not be able to scale our business quickly enough to meet our customers’ growing needs, and if we are not able to grow efficiently, our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Customers may use our platform for more advanced and frequent projects, resulting in usage growth for our platform. With such growth, we may need to devote additional resources to improving our software architecture, integrating with third-party systems, and maintaining infrastructure performance. In addition, we will need to continue to appropriately scale our internal business operations as well as grow our partner services systems, including our Professional Services organization and operations, to serve our growing customer base, particularly as our customer base expands over time. Any failure of or delay in these efforts could cause impaired system performance and reduced customer satisfaction. These issues could reduce the attractiveness of our platform to customers, resulting in decreased sales to new customers, lower renewal rates by existing customers, the issuance of service credits, or requested refunds, any of which could hurt our revenue growth and our reputation. Even if we are able to upgrade our systems and expand our staff,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the expansion and improvements to our infrastructure and systems will be fully or effectively implemented on a timely basis, if at all. These efforts may reduce revenue and our margins and adversely impact our financial results.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53670"/>
                <wp:effectExtent l="0" t="0" r="0" b="0"/>
                <wp:wrapNone/>
                <wp:docPr id="14" name="Frame1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dependent on a single product, and the lack of continued market acceptance of our platform could cause our operating results to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Sales of our software platform account for substantially all of our subscriptions revenue and are the source of substantially all of our professional services revenue. We expect we will be substantially dependent on our platform to generate revenue for the foreseeable future. As a result, our operating results or revenue growth rates could suffer due to:</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Any decline or lower than expected growth in demand for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failure of our platform to achieve continued market acceptance;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market for process automation solutions not continuing to grow or growing more slowly than we expect;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introduction of products and technologies (including AI technologies) that represent an improvement over, or serve as a replacement or substitute for,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Technological innovations or new standards that our platform does not address;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 xml:space="preserve">Sensitivity to current or future prices offered by us or competing solutions; </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inability to further penetrate our existing industry verticals or expand our customer base;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inability to release enhanced versions of our platform on a timely basis.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sales cycle is long and unpredictable, particularly with respect to large customers, and our sales efforts require considerable time and expense, all of which may cause our operating results to fluctuate.</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operating results may fluctuate, in part, because of the resource-intensive nature of our sales efforts, the length and variability of the sales cycle of our platform, and the difficulty we face in adjusting our short-term operating expenses to respond to the fluctuations in the sales cycles. Our operating results depend in part on sales to large customers and promotion of increasing usage by those large customers. The length of our sales cycle, from initial evaluation to delivery of and payment for our software, varies substantially from customer to customer, and it is difficult to predict if or when we will make a sale to a potential customer. We may spend substantial time, effort, and money on our sales and marketing efforts without any assurance our efforts will result in revenue. As a result of these factors, we may face greater costs, longer sales cycles, and less predictability in the future. In the past, certain individual sales have occurred in periods later than we expected or have not occurred at all. The loss or delay of one or more large transactions in a quarter could impact our operating results for that quarter and any future quarters in which such revenue otherwise would have been recognized because a substantial portion of our expenses are relatively fixed in the short-term. As a result of these factors, it is difficult for us to forecast our revenue accurately in any quarter, and our quarterly results may fluctuate substantially.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Market adoption of process automation platforms to drive process automation may not grow as we expect, which may harm our business and prospects.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our future success will depend in large part on growth in the demand for process automation platforms to drive software-enabled process automation. It is difficult to predict customer demand for our platform, renewal rates, the rate at which existing customers expand their subscriptions, the size and growth rate of the market for our platform, the entry of competitive products, or the success of existing competitive products. Any expansion in our addressable market depends on a number of factors, including businesses continuing to desire to differentiate themselves through software-enabled process automation, increasing their reliance on process automation solutions, changes in the competitive landscape, technological changes, including due to advancements in AI, budgetary constraints of our customers, and changes in economic conditions. If our platform does not achieve widespread adoption or there is a reduction in demand for process automation solutions caused by these factors, it could result in reduced customer purchases, reduced renewal rates, and decreased revenue, any of which will adversely affect our business, operating results, and financial condition.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53670"/>
                <wp:effectExtent l="0" t="0" r="0" b="0"/>
                <wp:wrapNone/>
                <wp:docPr id="15" name="Frame1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currently face significant competition.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markets for process automation platforms, business process management, case management software, and custom software are highly competitive, rapidly evolving, and have relatively low barriers to entry. The principal competitive factors in our market include the following: platform features, reliability, performance, and effectiveness; ease of use and speed; data fabric; utilization of AI; platform extensibility and ability to integrate with other technology infrastructures; deployment flexibility; robustness of professional services and customer support; price and total cost of ownership; strength of platform security and adherence to industry standards and certifications;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Our main competitors fall into four categories: (1) providers of custom software and software solutions that address, or are developed to address, some of the use cases that can be addressed by applications developed on our platform; (2) providers of development platforms; and (3) providers of one or more automation technologies, including BPM, case management, process mining, and RPA and (4) potential customers using their own internal technology departments to develop, build, and modify their own proprietary systems.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Some of our actual and potential competitors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solutions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including with respect to AI. With the introduction of AI and new market entrants, we expect competition to intensify in the future. In addition, some of our larger competitors have substantially broader offerings and can bundle competing products with other software offerings. As a result, customers may choose a bundled offering from our competitors, even if individual products have more limited functionality than our platform. These larger competitors are also often in a better position to withstand any significant reduction in capital spending and will therefore not be as susceptible to economic downturns.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 the past, we have experienced significant corporate growth, which may not be indicative of our future growth and, if we grow in the future, we may not be able to manage our growth effectively.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focused on optimizing our operations and headcount to ensure they remain in line with our growth plan and the size of our customer base, which we have significantly increased in the past several years. While we have expanded our operations and headcount in prior periods, such measures are not indicative of our future growth, and are subject to reversal in the other direction, as we have done at various times in the past. Our growth in the past has placed, and any future growth will place, a significant strain on our management, administrative, operational, and financial infrastructure. Our success will depend in part on our ability to manage any growth effectively, and we will need to continue to improve our operational, financial, and management controls and our reporting systems and procedures. Failure to effectively manage our growth could result in difficulty or delays in deploying our platform to customers, decreased efficiency, declines in quality or customer satisfaction, increases in costs, difficulties in introducing new features, or other operational difficulties. Any of these difficulties could adversely impact our business performance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security measures are actually or perceived to have been breached, or if unauthorized access to our platform or customer data occurs, our platform may be perceived as not being secure, and customers may reduce the use of or stop using our platform, and we may incur significant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platform, which can be deployed in the cloud or on-premises, allows for the storage and transmission of our customers’ proprietary or confidential information, which may include trade secrets, personally identifiable information, personal health information, and payment card information. Any actual or perceived unauthorized access to, or security incidents affecting, our platform or the information stored on or transmitted by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53670"/>
                <wp:effectExtent l="0" t="0" r="0" b="0"/>
                <wp:wrapNone/>
                <wp:docPr id="16" name="Frame1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including through unauthorized and/or malicious activity by one of our employees, could result in the loss of information, litigation, regulatory investigations, penalties, indemnity obligations and other costs, expenses, and liabilities, which could exceed our existing insurance coverage and could result in a substantial financial loss. While we have security measures in place designed to protect customer information and prevent data loss and other security breaches, there can be no assurance these measures will be completely effective in protecting against malicious unauthorized access to our platform or our customers’ information. Similarly, if cyber incidents such as phishing attacks, viruses, denial of service attacks, supply chain attacks, malware installation, ransomware attacks, server malfunction, software or hardware failures, loss of data or other computer assets, adware, or other similar issues impair the integrity or availability of our systems by affecting our data or reducing access to or shutting down one or more of our computing systems or our IT network, we may be subject to negative treatment by our customers, our business partners, the press, and the public at large. Further, even though we have security measures in place that are tested and verified by third parties, because the techniques used to obtain unauthorized access or sabotage systems change frequently and generally are not identified until they are launched against a target, we may be unable to anticipate these techniques or to implement adequate preventative measures. Additionally, we may be subject to attacks on our networks or systems or attempts to gain unauthorized access to our proprietary or confidential information or other data we or our vendors maintain, such as data about our employees. Such attacks and other breaches of security may occur as a result of malicious attacks, human error, social engineering, or other causes. Any of the foregoing risks may be heightened by our use of AI, and the use of AI may enhance the effectiveness of any of the foregoing threat actors or their attempts to gain unauthorized access to our platform or our customers’ confidential, proprietary, or personal information. Any actual or perceived breach of our security measures or failure to adequately protect our customers’ or our confidential, proprietary, or personal information could negatively affect our ability to attract new customers, cause existing customers to elect not to renew their subscriptions to our software, or result in reputational damage, any of which could adversely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 security compromises experienced by our customers with respect to data hosted on our platform, even if caused by the customer’s own misuse or negligence, may lead to public disclosures, which could harm our reputation, erode customer confidence in the effectiveness of our security measures, negatively impact our ability to attract new customers, or cause existing customers to elect not to renew their subscriptions with us. We may be subjected to indemnity demands, regulatory proceedings, audits, penalties, or litigation based on our customers’ misuse of our platform with respect to such sensitive information. Defending against such litigation and otherwise addressing such matters may be expensive, cause distraction, and may result in us incurring liability, all of which may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While we maintain general liability insurance coverage and coverage for errors or omissions, we cannot provide assurance such coverage will be adequate or otherwise protect us from liabilities or damages with respect to claims alleging compromises of personal data or that such coverage will continue to be available on acceptable terms or at all.</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53670"/>
                <wp:effectExtent l="0" t="0" r="0" b="0"/>
                <wp:wrapNone/>
                <wp:docPr id="17" name="Frame1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derive a significant portion of our revenue from a limited number of customers, and the loss of one or more of these customers could materially and adversely impact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 base is concentrated. For example, during the years ended December 31, 2025, 2024, and 2023, revenue from U.S. federal government agencies represented 25.3%, 23.9%, and 21.3% of our total revenue, respectively, and the top three U.S. federal government customers generated 3.9%, 4.0%, and 4.2% of our total revenue for the years ended December 31, 2025, 2024, and 2023, respectively. Changes in the administration and their priorities may impact public sector budgets and funding for federal government agencies. See our risk factor below at “A portion of our revenue is generated from subscriptions sold to governmental entities and heavily regulated organizations, which are subject to a number of challenges and risks.” If we were to lose one or more of our significant customers and we were unable to recover the revenue from that customer from other customers, our revenue would significantly decline. In addition, revenue from significant customers may vary from period to period depending on the timing of renewing existing agreements or entering into new agreements. The loss of one or more of our significant customers could materially and adversely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 portion of our revenue is generated from subscriptions sold to governmental entities and heavily regulated organizations, which are subject to a number of challenges and risks.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 significant portion of our revenue is generated from subscriptions sold to governmental entities, both in the United States and internationally. Additionally, many of our current and prospective customers such as those in the financial services, life sciences, insurance, and healthcare industries are highly regulated and may be required to comply with more stringent regulations in connection with subscribing to and implementing our platform. Selling subscriptions to these entities can be highly competitive, expensive, and time-consuming, often requiring significant upfront time and expense without any assurance we will successfully complete a sale. In addition, if our software or personnel do not meet the standards of new or existing regulations, we may be in breach of our contracts with our customers, allowing them to terminate their agreements.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Governmental demand and payment for our platform may also be impacted by public sector budgetary cycles and funding authorizations, with funding reductions or delays adversely affecting public sector demand for our platform. In addition, changes in the administration and their priorities could also affect public sector budgets and funding. The United States has previously experienced lapses in federal appropriations, and any such future lapses could negatively affect our business, results of operations, and financial condition. In addition, governmental and highly regulated entities impose compliance requirements that are complicated, make pricing readily available, subject continued business to unpredictable competitive processes, or are otherwise time-consuming and expensive to satisfy. We also must comply with laws and regulations relating to the formation, administration, and performance of contracts, which provide public sector customers with specific rights, many of which are not typically found in commercial contracts.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the United States, applicable federal contracting regulations change frequently, and the President may issue executive orders requiring federal contractors to adhere to new compliance requirements after a contract is signed. If we commit to meeting special standards or requirements and do not meet them, including requirements related to security clearances for personnel and facilities, we could be subject to significant liability from our customers or regulators. Even if we do meet these special standards or requirements, the additional costs associated with providing our platform to government and highly regulated customers could harm our operating results. Moreover, changes in the underlying statutory and regulatory conditions that affect these types of customers could compromise our ability to efficiently provide them access to our platform and to grow or maintain our customer base. In addition, engaging in sales activities to foreign governments introduces additional compliance risks specific to the U.S. Foreign Corrupt Practices Act, the U.K. Bribery Act, and other similar statutory requirements prohibiting bribery and corruption in the jurisdictions in which we operate.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have experienced losses in the past, and we may not be able to sustain profitability in the future.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53670"/>
                <wp:effectExtent l="0" t="0" r="0" b="0"/>
                <wp:wrapNone/>
                <wp:docPr id="18" name="Frame1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generated GAAP net income of $1.2 million in 2025 and GAAP net losses of $92.3 million and $111.4 million in 2024 and 2023, respectively. As of December 31, 2025, we had an accumulated deficit of $610.9 million. We will need to generate and sustain increased revenue levels in future periods in order to sustain profitability in the future. We also expect our costs to increase in future periods, which could negatively affect our future operating results if our revenue does not increase commensurately. For example, we intend to continue to expend funds to expand our sales and marketing operations, develop and enhance our platform,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unforeseen expenses, difficulties, complications or delays, and other unknown events. If we are unable to sustain profitability, our stock price may significantly decrease.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AI is a disruptive set of technologies that may affect the markets for our software dramatically and in unpredictable ways.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emerging technologies described as AI, which include machine learning, generative AI, including large language models, and similar means of algorithm self-generation, have the ability to affect the market for our software by directing what are now human-orchestrated processes into machine-orchestrated processes. In recent years, AI technologies have been the subject of great interest to our customers and to followers of our markets, and these technologies have been showcased and subject to substantial interest among our customer base. Should we fail to effectively compete with, adopt, or integrate emerging AI technologies that show benefits to our customers, or should AI technologies for code generation or application development reduce the demand for our process automation platform, we could struggle to continue to grow our business or lose business with existing customers to such technologies.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incorporated, and may continue to incorporate, AI in our products and services, and this incorporation of AI in our business and operations may become more significant over time. The use of generative AI, a technology that has evolved significantly over recent years, exposes us to additional risks, such as competitive, reputational, operational, legal, regulatory and other risks, including additional costs. For example, generative AI has been known to produce false or “hallucinatory” inferences or output, and the models, prompts, algorithms, and datasets on which AI relies, as well as the content, analyses, or other output generated thereby, may be invalid, inaccurate, or biased or contain other errors or inadequacies, any of which may not be easily detectable by us or any of our related third-party providers. While we make efforts to implement and use AI technologies designed to improve the accuracy and reduce the chances of hallucinatory inferences or outputs, we cannot completely eliminate the foregoing risks. Additionally, the use of AI technologies by companies has resulted in, and may in the future result in, cybersecurity incidents and data privacy violations that implicate the confidential, proprietary, or personal information of users of such AI technologies. If any of our employees, contractors, vendors, or service providers use any third-party AI technologies in connection with our business or the products or services they provide to us, it may lead to the inadvertent disclosure or incorporation of our confidential, sensitive, or proprietary information into publicly available or other third-party training sets which may impact our ability to realize the benefit of, or adequately maintain, protect and enforce our intellectual property or sensitive or confidential information, harming our competitive position and business. Our ability to mitigate risks associated with disclosure of our proprietary, sensitive, or confidential information, including in connection with the use of AI, will depend on our implementation, maintenance, monitoring, and enforcement of appropriate technical and administrative safeguards, policies, and procedures governing the use of AI in our business. Moreover, given we rely on third-party providers for the underlying large language models and other technology, as do many others in the software industry, we do not have full access to the underlying software code to address such issues. If the AI technologies that we or our third-party providers use are, or are perceived to be, deficient, inaccurate, biased, unethical or otherwise flawed, our reputation, competitive position and business may be materially and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addition, new laws and regulations, or the interpretation of existing laws and regulations, in any of the jurisdictions we operate may affect our ability to leverage AI in any of our operations, products, and services and may expose us to government enforcement or civil suits. As the legal and regulatory framework encompassing AI evolves, it may result in increases in our operational, compliance, and development expenses that impact our ability to develop, earn revenue from, or utilize any products or services incorporating AI. If we do not have sufficient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53670"/>
                <wp:effectExtent l="0" t="0" r="0" b="0"/>
                <wp:wrapNone/>
                <wp:docPr id="19" name="Frame1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rights to use the models, prompts, algorithms, and datasets on which our AI and machine learning technologies rely, or the content, analyses, recommendations or other output generated thereby, we could also incur liability through the violation of applicable laws and regulations, third-party intellectual property, privacy or other rights or contracts to which we are a party. In the U.S., a number of civil lawsuits have been initiated related to the foregoing and other concerns, any of which may, amongst other things, require us to limit the ways in which AI technologies are trained, refined or implemented, and may affect our ability to develop or use products or services using or incorporating AI.</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Furthermore, our competitors, customers, or other third parties may incorporate AI into their products more quickly or more successfully than us, which could impair our ability to compete effectively. Given we rely on third-party providers for the underlying large language models and other technology, our ability to differentiate our AI products or services from our competitors could be limited. Further, to the extent other, larger technology companies with greater resources and market power gain exclusive or advantageous access to large language model or other AI technology providers, our ability to offer competing AI products or services could be negatively impacted. The increasing use of generative AI by third parties may also negatively impact the integrity of our own proprietary data, data sets, and content databases if and to the extent any invalid, inaccurate, incomplete, misleading, biased, or otherwise flawed data produced by any such AI technologies may inadvertently be incorporated in our proprietary data, data sets, or content databases, negatively affecting our reputation and the value of our proprietary data, data sets, or content databases. As generative AI and other AI technologies are relatively new, sophisticated, and evolving quickly, we cannot predict all of the risks that may arise from our current or future use of AI in our business. Any of the foregoing and any similar issues, whether actual or perceived, could negatively impact our customers’ experience and diminish the perceived quality and value of our products and services. This in turn could damage our brand, reputation, competitive position, and business.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Regulatory and legislative developments related to the use of AI could adversely affect our use of such technologies in our products, services, and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the regulatory framework for machine learning technology, generative AI, and automated decision-making evolves, our business, financial condition and results of operations may be adversely affected. The regulatory framework for AI and similar technologies, and automated decision-making, is changing rapidly. It is possible that new laws and regulations will be adopted in the United States and in non-U.S. jurisdictions, or that existing laws and regulations may be interpreted in ways that would affect the operation of our business, including our data analytics products and services and the way in which we use AI and similar technologies in our business. For example, the European Union’s Artificial Intelligence Act will likely have a material impact on the way AI is regulated in the EU, including significant fines for violations related to offering prohibited AI systems or data governance, high-risk AI systems and for supplying incorrect, incomplete, or misleading information to EU and member-state authorities.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future results of operations may fluctuate significantly due to a wide range of factors, which makes our future results difficult to predict.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revenue and results of operations have historically varied from period to period, and we expect they will continue to do so as a result of a number of factors which may occur, many of which are outside of our control, including: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The level of demand for our platform and our professional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rate of renewal of subscriptions with, and extent of sales of additional subscriptions to, existing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Large customers failing to renew their subscriptions;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size, timing, and terms of our subscription agreements with existing and new customers, including revenue recognition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53670"/>
                <wp:effectExtent l="0" t="0" r="0" b="0"/>
                <wp:wrapNone/>
                <wp:docPr id="20" name="Frame1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Variations in the revenue mix of our professional services and growth rates of our cloud subscription and professional services offerings, as well as the timing of subscriptions and sales offerings that include an on-premises software element for which the revenue allocated to that deliverable is recognized upfront;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timing and growth of our business, in particular through our hiring of new employees and international expansion;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timing of our adoption of new or revised accounting pronouncements applicable to public companies and the impact on our results of operations;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introduction of new products and product enhancements by existing competitors or new entrants into our market and changes in pricing for solutions offered by us or our competitors;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Network outages, security breaches, technical difficulties, or interruptions with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growth rate of the markets in which we compete;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mix of subscriptions to our platform and professional services sold during a period;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Customers delaying purchasing decisions in anticipation of new developments or enhancements by us or our competitors or otherwise;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customers’ budgets;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administration and their priorities in terms of public sector budgets and funding;</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Lapses of federal appropriations in the United States for our government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Seasonal variations related to sales and marketing and other activities such as expenses related to our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increase, retain, and incentivize the strategic partners that market and sell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control costs, including our operating expenses;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ability to hire, train, and maintain our direct sales team;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Unforeseen litigation and intellectual property infringement;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Fluctuations in our effective tax rate;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economic and political conditions, both domestically and internationally, as well as economic conditions specifically affecting industries in which our customers operate.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one of these or other factors discussed elsewhere in this Annual Report on Form 10-K or the cumulative effect of some of these factors may result in fluctuations in our revenue and operating results, meaning quarter-to-quarter comparisons of our revenue, results of operations, and cash flows may not necessarily be indicative of our future performance, may cause us to miss our guidance or analyst expectations, and may cause our stock price to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we have historically experienced seasonality in terms of when we enter into agreements with customers. We typically enter into a significantly higher percentage of agreements with new customers, as well as renewal agreements with existing customers, in the fourth quarter. The increase in customer agreements for the fourth quarter is attributable to large enterprise account-buying patterns typical in the software industry. Furthermore, we usually enter into a significant portion of agreements with customers during the last month, and often the last two weeks, of each quarter. This seasonality is reflected to a much lesser extent, and sometimes is not immediately apparent, in revenue due to the fact we recognize cloud subscriptions revenue over the term of the subscription agreement, which is generally one to three years. We expect seasonality will continue to affect our operating results in the future and may reduce our ability to predict cash flow and optimize the timing of our operating expenses.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53670"/>
                <wp:effectExtent l="0" t="0" r="0" b="0"/>
                <wp:wrapNone/>
                <wp:docPr id="21" name="Frame2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fail to meet our publicly announced guidance or other expectations about our business and future operating results, which could cause our stock price to decline.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provided, and may continue to provide, guidance about our business, future operating results, and other business metrics. In developing this guidance, our management must make certain assumptions and judgments about our future performance. Furthermore, analysts and investors may develop and publish their own projections of our business, which may form a consensus about our future performance. Our business results may vary significantly from such guidance or consensus due to a number of factors, many of which are outside of our control, including due to global economic uncertainty and financial market conditions which could adversely affect our operations and operating results. Furthermore, if our publicly announced guidance of future operating results fails to meet our previously announced guidance or the expectations of securities analysts, investors, or other interested parties, the price of our common stock would decline.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our success has depended, and continues to depend, on the efforts and talents of our senior management team, particularly Matt Calkins, our founder and Chief Executive Officer, and our highly skilled team members, including our sales personnel, professional services personnel, cloud engineering and support personnel, and software engineers. We do not maintain key person insurance on any of our executive officers or key employees. From time to time, there have been, and may continue to be, changes in our senior management team resulting from the termination or departure of our executive officers and key employees. Our senior management and key employees are employed on an at-will basis, which means they could terminate their employment with us at any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Many of our executive officers and key employees receive equity compensation as a significant portion of their overall compensation package. A substantial decrease in the market price of our Class A common stock would effectively reduce the compensation of such persons. The loss of any of our senior management or key employees, particularly Mr. Calkins, could adversely affect our ability to build on the efforts they have undertaken and to execute our business plan, and we may not be able to find adequate replacements. We cannot ensure we will be able to retain the services of any members of our senior management or other key employees.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ability to successfully pursue our growth strategy also depends on our ability to attract, motivate, and retain our personnel. Competition for highly-qualified employees in all aspects of our business is intense. Our continued ability to compete effectively depends on our ability to attract new employees and to retain and motivate existing employees.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do not continue to innovate and provide a platform that is useful to our customers, we may not remain competitive, and our revenue and operating results could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depends on continued innovation to provide features that make our platform useful for our customers, including with respect to developments in AI, our ability to persuade existing customers to expand their use of our platform to additional use cases and additional applications, and to purchase additional software licenses to our platform. We must continue to invest significant resources in research and development in order to continually improve the speed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customers, we may be unable to attract additional customers or retain our current customers, which may adversely affect our business, operating results, and financial condition.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53670"/>
                <wp:effectExtent l="0" t="0" r="0" b="0"/>
                <wp:wrapNone/>
                <wp:docPr id="22" name="Frame2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continue to need to change or reduce our pricing model to remain competitive.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market for our platform is still evolving, and competitive dynamics may cause pricing levels to change as the market matures and as existing and new market participants introduce new types of solutions and different approaches to enable customers to address their needs. In the past, we have changed or reduced the prices we charge for software and may continue to need to do so. In addition, we may be required to offer terms less favorable to us for new and renewing agreements. We generally sell our software on a per-user basis or through non-user-based single application licenses. We have changed, and expect we will continue to need to change, our pricing model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business could be adversely affected if our customers are not satisfied with the deployment services provided by us or our partners.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success of our business depends on our customers’ satisfaction with our platform, the support we provide for our platform, and the professional services we provide to help our customers deploy our platform. Professional services may be performed by our own staff, a third party, or a combination of the two. Our strategy is to work with third parties to increase the breadth, capability, and depth of capacity for delivery of these services to our customers, and third parties provide a significant portion of our deployment services. If a customer is not satisfied with the quality of work performed by us or a third party or with the type of applications delivered, we could incur additional costs to address the deficiency, which would diminish the profitability of the customer relationship. Further, a customer’s dissatisfaction with our services could impair our ability to expand the number of licenses to our software purchased by that customer or adversely affect the customer’s renewal of existing licenses. In addition, negative publicity related to our customer relationships, regardless of accuracy, may further damage our business by affecting our ability to compete for new business with actual and prospective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substantially dependent upon customer renewals, the addition of new customers, and the continued growth of our subscriptions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derive, and expect to increasingly derive in the future, a substantial portion of our revenue from the sale of software subscriptions. For 2025, 2024, and 2023, approximately 79.3%, 79.5%, and 75.6%, respectively, of our total revenue was subscriptions revenue. In order for us to improve our operating results, it is important our customers renew their subscriptions with us when their initial term expires as well as purchase additional subscriptions from us. In general, our customers have no renewal obligation after their initial term expires, and we cannot provide assurance we will be able to renew subscriptions with any of our customers at the same or higher contract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 while we offer access to our platform primarily through multi-year subscription agreements, some agreements may have shorter durations. Additionally, some of our contracts limit the amount we can increase prices from period to period or include pricing guarantees. If our customers do not renew their agreements, terminate their agreements, renew their agreements on terms less favorable to us, or fail to purchase additional software subscriptions, our revenue may decline and our operating results would likely be harmed as a result.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we generally recognize revenue from cloud subscriptions ratably over the term of the subscription agreement, near-term changes in sales may not be reflected immediately in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offer our solution primarily through multi-year cloud subscription agreements and generally recognize revenue ratably over the related subscription period. As a result, much of the revenue we report in each quarter is derived from the recognition of previously unbilled or deferred contract value relating to agreements entered into during prior periods. Accordingly, an increase or decline in new or renewal subscription agreements in any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53670"/>
                <wp:effectExtent l="0" t="0" r="0" b="0"/>
                <wp:wrapNone/>
                <wp:docPr id="23" name="Frame2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is not likely to be reflected immediately in our revenue results for that quarter. Such increases or declines, however, would affect our revenue, and to a lesser extent, deferred revenue balance in future periods, and the effect of significant downturns in sales and market acceptance of our platform and potential changes in our rate of renewals may not be fully reflected in our results of operations until future periods.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not continue to achieve market acceptance of our pre-built solutions, which may adversely impact our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been developing and releasing pre-built solutions on our software platform in order to maximize the value of our platform to our customers and to reduce the sales cycles associated with software sales to new and existing customers. Each solution requires an investment in development, marketing, sales, support, finance, and legal resources to bring the solution to market. Although we make efforts to identify the solutions that will receive favorable market acceptance, there can be no guarantee any solution will become the source of material revenue, and the investment in the solution may not produce a positive return. If unsuccessful, such solutions may adversely impact our financial results to the extent our expenses increase without any increase in sales or to the extent attempted sales of such solutions reduce sales of our existing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are not able to maintain and enhance our brand, our business and operating results may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believe developing and maintaining widespread awareness of our brand in a cost-effective manner is critical to achieving widespread acceptance of our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critical for broad customer adoption of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platform fails to perform properly or there are defects or disruptions in the rollout of our platform updates or enhancements, our reputation could be adversely affected, our market share could decline, and we could be subject to liability claims.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platform is inherently complex and may contain material defects or errors. Any defects in functionality, security, or other conditions that cause interruptions in the availability of our platform could result in:</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Loss or delayed market acceptance and sales;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Breach of warranty claims;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Sales credits or refunds for prepaid amounts related to unused subscription services;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Loss of customers;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Diversion of development and support resources; and/or</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Injury to our reputation.</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costs incurred in correcting any material defects or errors might be substantial and could adversely affect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 agreements often provide service level commitments on a monthly basis. If we are unable to meet the stated service level commitments or suffer extended periods of unavailability for our platform, we may be contractually obligated to provide these customers with service credits or refunds for prepaid amounts, or we could face contract terminations. Our revenue could be significantly affected if we suffer unscheduled downtime that exceeds the allowed downtimes under our agreements with our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Because of the large amount of data we collect and manage, it is possible hardware failures or errors in our systems could result in data loss or corruption or cause the information we collect to be incomplete or contain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53670"/>
                <wp:effectExtent l="0" t="0" r="0" b="0"/>
                <wp:wrapNone/>
                <wp:docPr id="24" name="Frame2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inaccuracies our customers regard as significant. Furthermore, the availability or performance of our platform could be adversely affected by a number of factors, including customers’ inability to access the internet, our customers’ increased usage of our cloud offering, the failure of our network or software systems, security breaches, or variability in user traffic for our services. In addition to potential liability, if we experience interruptions in the availability of our cloud offering, our reputation could be adversely affected, and we could lose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also provide frequent incremental releases of software updates and functional enhancements to our platform. Despite extensive pre-release testing, such new versions occasionally contain undetected errors when first introduced or released. We have, from time to time, found errors in our software, and new errors in our existing software may be detected in the future. Since our customers use our software for important aspects of their business, any errors, defects, disruptions in our platform, or other performance problems with our solution could hurt our reputation and may damage our customers’ businesses. If that occurs, our customers may delay or withhold payment to us, elect not to renew, or make service credit claims, warranty claims, or other claims against us, and we could lose future sales. The occurrence of any of these events could result in an increase in our bad debt expense, an increase in collection cycles for accounts receivable, decreased future revenue and earnings, require us to increase our warranty provisions, or incur the risk or expense of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rely upon AWS to operate our cloud offering; any disruption of or interference with our use of AWS would adversely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outsource substantially all of the infrastructure relating to our cloud offering to AWS, which hosts our platform on our customers’ behalf. Customers of our cloud offering need to be able to access our platform at any time, without interruption or degradation of performance, and we provide them with service level commitments with respect to uptime. AWS runs its own platform we access; therefore, we are vulnerable to service interruptions at AWS. We may experience material interruptions, delays, and outages in service and availability from time to time as a result of problems with our AWS provided infrastructure, which could render our cloud offering inaccessible to customers. Additionally, AWS has suffered outages at specific customer locations in the past, rendering the customer unable to access our offering for periods of time. Lack of availability of our AWS infrastructure could be due to a number of potential causes including technical failures, natural disasters, fraud, or security attacks we cannot predict or prevent. Such outages could lead to the triggering of our service level agreements and the issuance of credits to our cloud offering customers, which may impact our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if the security of the AWS infrastructure is compromised or believed to have been compromised, our business, results of operations, and financial condition could be adversely affected. It is possible our customers and potential customers would hold us accountable for any breach of security affecting the AWS infrastructure, and we may incur significant liability from those customers and from third parties with respect to any breach affecting AWS systems. Because our agreement with AWS limits AWS’s liability for damages, we may not be able to recover a material portion of our liabilities to our customers and third parties from AWS. Customers and potential customers may refuse to do business with us because of the perceived or actual failure of our cloud offering as hosted by AWS, and our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agreement with AWS allows AWS to terminate the agreement by providing two years' prior written notice and may allow AWS to terminate in case of a breach of contract if such breach is uncured for 30 days or to terminate upon 30 days’ advance written notice if AWS’s further provision of services to us becomes impractical for legal or regulatory reasons. Although we expect we could receive similar services from other third parties if any of our arrangements with AWS are terminated, we could experience interruptions on our platform and in our ability to make our platform available to customers, as well as delays and additional expenses in arranging alternative cloud infrastructure services.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53670"/>
                <wp:effectExtent l="0" t="0" r="0" b="0"/>
                <wp:wrapNone/>
                <wp:docPr id="25" name="Frame2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growth depends in part on the success of our strategic relationships with third parties.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order to grow our business, we anticipate we will continue to depend on relationships with strategic partners to provide broader customer coverage and solution delivery capabilities. Identifying partners, and negotiating and documenting relationships with them, requires significant time and resources. Our agreements with our strategic partners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platform,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platform by potential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If we are unsuccessful in establishing or maintaining our relationships with third parties, our ability to compete in the marketplace or to grow our revenue could be impaired and our operating results may suffer. Even if we are successful, we cannot be sure these relationships will result in increased customer usage of our platform or increased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our long-term growth strategy involves further expansion of our sales to customers outside the United States, our business will be susceptible to risks associated with international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 component of our growth strategy involves the further expansion of our operations and customer base internationally. In 2025, 2024, and 2023, revenue generated from customers outside the United States was 37.6%, 36.6%, and 35.8%, respectively, of our total revenue. We currently operate in Canada, Switzerland, the United Kingdom, France, Germany, the Netherlands, Italy, Australia, Spain, Singapore, Sweden, Japan, Mexico, India, and Portugal and sell through resellers into many additional countries. In the future, we may expand to other international locations. Our current international operations and future initiatives will involve a variety of risks, including: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Changes in a specific country’s or region’s political or economic conditions;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Unexpected changes in regulatory requirements, taxes, tariffs, or trade laws;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More stringent regulations relating to data security and the unauthorized use of, or access to, commercial and personal information, particularly in the European Union;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Differing labor regulations, especially in the European Union, where labor laws are generally more advantageous to employees as compared to the United States, including deemed hourly wage and overtime regulations in these locations;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Increased travel, real estate, infrastructure, and legal compliance costs associated with international operations;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Currency exchange rate fluctuations and the resulting effect on our revenue and expenses, and the cost and risk of entering into hedging transactions if we choose to do so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Laws and business practices favoring local competitors or general preferences for local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53670"/>
                <wp:effectExtent l="0" t="0" r="0" b="0"/>
                <wp:wrapNone/>
                <wp:docPr id="26" name="Frame2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Limited or insufficient levels of protection of our corporate proprietary information and assets, including intellectual property and customer information and records;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Political instability or terrorist activities;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Exposure to liabilities under anti-corruption and anti-money laundering laws, including the U.S. Foreign Corrupt Practices Act and similar laws and regulations in other jurisdictions;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Adverse tax burdens and foreign exchange controls that could make it difficult to repatriate earnings and cash.</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limited experience in operating our business internationally increases the risk any potential future expansion efforts we may undertake will not be successful. If we invest substantial time and resources to expand our international operations and are unable to do so successfully and in a timely manner, our business and operating results will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require additional capital to support business growth, and this capital might not be available on acceptable terms, if at all.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intend to continue to make investments to support our business growth and may require additional funds to respond to business challenges, including the need to develop new features or enhance our platform,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have obtained a judgment preservation insurance policy with respect to a now-vacated judgment and ongoing litigation against our competitor, Pegasystems, and both the payment on the policy and continued litigation are subject to risks and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May 9, 2022, a jury returned a verdict that Pegasystems, Inc., willfully and maliciously misappropriated trade secrets from us and awarded us $2.036 billion in damages for Pegasystems’ unjust enrichment for usage of our trade secrets. On January 8, 2026, the Supreme Court of Virginia issued a decision reversing the judgment against Pegasystems and remanding for a new trial.</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September 2023, we obtained a judgment preservation insurance policy that would pay us up to $500.0 million in coverage to the extent the final judgment were reversed or reduced after all appeals and further litigation are exhausted. While we are proceeding to a retrial of the matters and believe strongly in the merits of our claims, we cannot guarantee the outcome of any legal proceedings, and continued litigation will subject us to costs, including litigation expenses and diversion of management time. Further, as with any insurance policy, our ability to collect judgment preservation insurance proceeds is subject to the financial soundness of the insurers underwriting our policy, as well as any denial of coverage under the policy. While we have not included any payment from Pegasystems or insurance proceeds in our financial statements or operational planning, any failure to collect on all or a portion of the judgment or the insurance proceeds may be viewed negatively and our stock price could decline.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maintain cash deposits in excess of federally insured limits. Adverse developments affecting financial institutions, including bank failures, could adversely affect our liquidity and financial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regularly maintain domestic cash deposits in banks insured by the Federal Deposit Insurance Corporation, or the FDIC, that exceed the FDIC insurance limits. Bank failures, events involving limited liquidity, defaults, non-performance or other adverse developments that affect financial institutions, or concerns or rumors about such events, may lead to liquidity constraints. For example, on March 10, 2023, Silicon Valley Bank, or SVB, was closed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53670"/>
                <wp:effectExtent l="0" t="0" r="0" b="0"/>
                <wp:wrapNone/>
                <wp:docPr id="27" name="Frame2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by the California Department of Financial Protection and Innovation, and the FDIC was appointed receiver. If other banks and financial institutions enter receivership or become insolvent in the future due to financial conditions affecting the banking system and financial markets, our ability to access our cash, cash equivalents, and investments, including transferring funds, making payments, or receiving funds may be threatened and could have a material adverse effect on our business and financial condition. There can be no assurance our deposits in excess of the FDIC or other comparable insurance limits will be backstopped by the U.S.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Pursuant to the terms of our outstanding indebtedness, we may be limited in our ability to incur future debt.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Senior Secured Credit Facilities Credit Agreement (as amended from time to time, the “Credit Agreement”) with First Citizens Bank &amp; Trust Company, as administrative agent and collateral agent for the lenders thereto, which as of December 31, 2025, provides for a term loan facility with a maturity date of November 3, 2027, in an aggregate principal amount of $200.0 million and up to $100.0 million for a revolving credit facility, including a letter of credit sub-facility in the aggregate availability amount of $20.0 million and a swingline sub-facility in the aggregate availability amount of $10.0 million (as a sublimit of the revolving loan facility). Our obligations under the Credit Agreement are secured by substantially all of our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the terms of the Credit Agreement, we are limited in our ability to incur additional indebtedness other than on the terms and conditions thereof. In addition, a failure to comply with the covenants under the Credit Agreement could result in an event of default by us and an acceleration of amounts due. If an event of default occurs that is not waived by the lenders, and the lenders accelerate any amounts due, we may not be able to make accelerated payments, we may not be able to refinance our debt, and the lender could seek to enforce their security interests in the collateral securing such indebtedness, which could have a material adverse effect on our business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currency exchange rates fluctuate substantially in the future, our financial results, which are reported in U.S. dollars, could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Generally, contracts executed by our foreign operations are denominated in the currency of that country or region and a portion of our revenue is therefore subject to foreign currency risks. As we continue to expand our international operations, we become more exposed to the effects of fluctuations in currency exchange rates. A strengthening of the U.S. dollar could reduce the dollar value of revenue generated by our customers outside of the United States, adversely affecting our business operations and financial results. We incur expenses for employee compensation and other operating expenses at our non-U.S. locations in the local currency, and fluctuations in the exchange rates between the U.S. dollar and other currencies could result in the dollar equivalent of such expenses being higher. This could have a negative impact on our reported operating results. To date, we have not engaged in any hedging strategies, and any such strategies such as forward contracts, options, and foreign exchange swaps related to transaction exposures we may implement to mitigate this risk may not eliminate our exposure to foreign exchange fluctuations.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employ third-party licensed software for use in or with our software, and the inability to maintain these licenses or errors in the software we license could result in increased costs or reduced service levels, which would adversely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software incorporates certain third-party software obtained under licenses from other companies, including database software from Kx Systems. We anticipate we will continue to rely on such third-party software and development tools from third parties in the future. Although we believe there are commercially reasonable alternatives to the third-party software we currently license, including open source software, this may not always be the case, or it may be difficult or costly to migrate to other third-party software. Our use of additional or alternative third-party software would require us to enter into license agreements with third parties. In addition, integration of the third-party software used in our software with new third-party software may require significant work and require substantial investment of our time and resources. Also, any undetected errors or defects in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53670"/>
                <wp:effectExtent l="0" t="0" r="0" b="0"/>
                <wp:wrapNone/>
                <wp:docPr id="28" name="Frame2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software could prevent the deployment or impair the functionality of our software, delay new updates or enhancements to our platform, or result in a failure of our platform, injuring our reputation.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we do not or cannot maintain the compatibility of our platform with third-party applications that our customers use in their businesses, our revenue will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functionality and attractiveness of our platform depends, in part, on our ability to integrate our platform with third-party applications and platforms, including customer relationship management, human resources information, accounting, and enterprise resource planning systems our customers use and from which they obtain data. Third-party providers of applications and application programming interfaces, or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software with new third-party applications and platforms our customers use, we may not be able to offer the functionality our customers need, which would negatively impact our ability to generate revenue and adversely impact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Catastrophic events may disrupt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corporate headquarters are located in northern Virginia. The area around Washington, D.C., could be subjected to domestic or foreign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outbreak of regional or global pandemic diseases,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i/>
          <w:color w:val="000000"/>
          <w:sz w:val="20"/>
        </w:rPr>
        <w:t>Adverse economic conditions abroad may negatively impact our business.</w:t>
      </w:r>
      <w:r>
        <w:rPr>
          <w:color w:val="000000"/>
        </w:rPr>
        <w: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depends on the overall demand for enterprise software and on the economic health of our current and prospective customers. The economies of countries in Europe have experienced weakness from time to time in the recent past and may experience weakness in the future. We have operations in the United Kingdom and in Europe and current and potential new customers in Europe. If economic conditions in Europe and other key markets for our platform weaken or deteriorate, many customers may delay or reduce their information technology spending. This could result in reductions in sales of our platform, a decrease in our renewal rate, longer sales cycles, reductions in subscription duration and value, slower adoption of new technologies, and increased price competition. Any of these events would likely have an adverse effect on our business, operating results, and financial position.</w:t>
      </w:r>
    </w:p>
    <w:p>
      <w:pPr>
        <w:pStyle w:val="TextBody"/>
        <w:bidi w:val="0"/>
        <w:spacing w:before="0" w:after="0"/>
        <w:ind w:left="0" w:right="0" w:firstLine="27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Future acquisitions could disrupt our business and adversely affect our business operations and financial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the past we have chosen, and may continue to choose, to expand by acquiring businesses or technologies. Our ability as an organization to successfully acquire and integrate technologies or businesses is unproven. Acquisitions involve many risks, including the following:</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An acquisition may negatively affect our financial results because it may require us to incur charges or assume substantial debt or other liabilities, cause adverse tax consequences or unfavorable accounting treatment, expose us to claims and disputes by third parties, including intellectual property claims and disputes, or not generate sufficient financial return to offset additional costs and expenses related to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53670"/>
                <wp:effectExtent l="0" t="0" r="0" b="0"/>
                <wp:wrapNone/>
                <wp:docPr id="29" name="Frame2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encounter difficulties or unforeseen expenditures in integrating the business, technologies, products, personnel, or operations of any company we acquire, particularly if key personnel of the acquired company decide not to work for us;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disrupt our ongoing business, divert resources, increase our expenses, and distract our management;</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result in a delay or reduction of customer purchases for both us and the company acquired due to customer uncertainty about continuity and effectiveness of service from either company;</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We may encounter difficulties in successfully selling, or may be unable to successfully sell, any acquired solutions;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 acquisition may involve the entry into geographic or business markets in which we have little or no prior experience or where competitors have stronger market positions;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use of cash to pay for an acquisition would limit other potential uses for our cash;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If we incur debt to fund such acquisition, such debt may subject us to material restrictions on our ability to conduct our business as well as financial maintenance covenants.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we negotiate. Any unforeseen liability greater than these warranty and indemnity limitations could have a negative impact on our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Regulatory Compliance and Governmental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Failure to comply with governmental laws and regulations could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is subject to regulation by various federal, state, local, and foreign governments.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injunctions, or other collateral consequences. If any governmental sanctions are imposed or if we do not prevail in any possible civil or criminal litigation, our business, results of operations,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reputation,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Because we collect and store personal information, domestic and international privacy and security concerns could result in additional costs and liabilities to us, inhibit sales of our software, and subject us to complex and evolving federal, state, and foreign laws and regulations regarding privacy, data protection, and other related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Personal privacy has become a significant issue in the United States and in many other countries where we offer our software for sale. The regulatory framework for privacy issues worldwide is rapidly evolving and is likely to remain uncertain for the foreseeable future. An increasing number of countries and U.S. states have enacted comprehensive privacy laws, and many are considering adopting additional laws, rules, regulations, and industry standards regarding the collection, use, storage, or other processing of data. Interpretation of these laws, rules, and regulations and their application to our software and professional services, as well as to our corporate and marketing activities in the United States and foreign jurisdictions, is ongoing and cannot be fully determined at this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the United States, these include rules and regulations promulgated under the authority of the Federal Trade Commission, the Electronic Communications Privacy Act, the Computer Fraud and Abuse Act, the Health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53670"/>
                <wp:effectExtent l="0" t="0" r="0" b="0"/>
                <wp:wrapNone/>
                <wp:docPr id="30" name="Frame2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Portability and Accountability Act of 1996, the Gramm Leach Bliley Act, the California Consumer Privacy Act (as modified by the California Privacy Rights Act), or the CCPA, and other state laws relating to privacy and data security. The CCPA contains detailed requirements regarding collecting and processing personal information, imposes certain limitations on how such information may be used, and provides rights to consumers and employees that have never before been available, all of which may be imposed on us by our customers and oblige us to become more rigorous in how we treat our employees’ data. Further, the CCPA expands consumers’ rights with respect to certain sensitive personal information. Some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New legislation proposed or enacted in various other states will continue to shape the data privacy environment nationally.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Internationally, the GDPR continues to place robust obligations on data processors and controllers and heavier documentation requirements for data protection compliance programs by companies in general. In addition, absent appropriate safeguards or other circumstances, the GDPR generally restricts the transfer of personal data to non-adequate countries and/or organizations outside of the European Economic Area, or EEA, such as India, Australia, Mexico, and non-certified organizations in the United States, which the European Commission does not consider to provide an adequate level of data privacy and security. We are currently certified under the EU-US Data Privacy Framework (“EU-US DPF”). The EU-US DPF requires parties relying upon that legal mechanism to comply with obligations similar to those required under the GDPR, such as conducting transfer impact assessments to determine whether additional security measures are necessary to protect the at-issue personal data. Due to potential legal challenges, however, there exists some uncertainty regarding whether the new EU-US DPF will remain a valid mechanism for transfers of personal data out of the EEA.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Recent EU legislation, such as the EU Data Act, which provides cancellation and portability rights to customers, the Artificial Intelligence Act (impacting the use and development of AI), and other legislation such as the Digital Operational Resilience Act (impacting contracts with customers in the financial and insurance sectors), the Digital Services Act (impacting online advertising), the Digital Markets Act (impacting those providing core platform services), the Data Governance Act (impacting public sector data), and the NIS2 Directive (impacting cybersecurity) impact our own activities, those of our regulated and public sector customers, and those of our significant partners such as AWS.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Virtually every jurisdiction or regulated industry in which we operate has established its own data security and privacy legal framework with which we or our customers must comply. Since we operate across a variety of industries, we may be hosting or otherwise processing substantial amounts of sensitive or otherwise regulated personal information such as identifiable health information. The effects of any of this legislation and future changes to interpretations of this legislation could be potentially far-reaching and will require us to modify our data management practices and to incur substantial expense in an effort to comply.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to government regulation, privacy advocates and industry groups may propose new and different self-regulatory standards that may apply to us. Because the interpretation and application of privacy and data protection laws are still uncertain, it is possible these laws and other actual or alleged legal obligations such as contractual or self-regulatory obligations may be interpreted and applied in a manner inconsistent with our existing data management practices or the features of our platform. If so, in addition to the possibility of fines, lawsuits, and other claims, we could be required to fundamentally change our business activities and practices or modify our software, which could have an adverse effect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inability to adequately address privacy or cybersecurity concerns, even if unfounded, or comply with applicable privacy or data protection laws, regulations, and policies could result in additional cost and liability to us, damage our reputation, inhibit sales, and adversely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Furthermore, the costs of compliance with, and other burdens imposed by, the laws, regulations, and policies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53670"/>
                <wp:effectExtent l="0" t="0" r="0" b="0"/>
                <wp:wrapNone/>
                <wp:docPr id="31" name="Frame3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platform fails to function in a manner allowing our customers to operate in compliance with regulations and/or industry standards, our revenue and operating results could be harmed.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Certain of our customers use our platform to create applications that ensure secure communications given the nature of the content being distributed and associated applicable regulatory requirements. As attitudes towards privacy and data security evolve, governmental and other customers may also require our platform to comply with certain privacy, security, and other certifications and standards that are specialized or industry-specific. Our cloud platform holds various security certifications from government agencies and industry organizations, including the Federal Risk and Authorization Management Program, or FedRAMP, compliance and HITRUST certification. It also meets the ISO 27001, Payment Card Industry Data Security Standard, or PCI DSS, and the various United States Health Insurance Portability and Accountability Act, or HIPAA, standards. Governments and industry organizations may also adopt new laws, regulations, or requirements or make changes to existing laws or regulations that could impact the demand for, or value of, our applications such as the European Banking Authority's regulations. If we fail to maintain our current security certifications and/or to continue to meet security standards, or if we are unable to adapt our platform to changing legal and regulatory standards or other requirements in a timely manner, our customers may lose confidence in our platform, and our business could be negatively impacted.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Changes in laws and regulations related to the internet or changes in the internet infrastructure itself may diminish the demand for our platform and could have a negative impact on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future success of our business, and particularly our cloud offering,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platform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viruses, worms, and similar malicious programs, along with distributed denial of service and similar attacks. As a result, the internet has experienced a variety of outages and other delays as a result of such damage to or attacks on portions of its infrastructure. If the use of the internet is adversely affected by these issues, demand for our platform could suffer.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subject to anti-corruption laws with respect to our domestic and international operations, and non-compliance with such laws can subject us to criminal and/or civil liability and materially harm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subject to the U.S. Foreign Corrupt Practices Act of 1977, as amended, or the FCPA, the U.S. domestic bribery statute contained in 18 U.S.C. § 201, the U.S. Travel Act, the United Kingdom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can be held liable for the corrupt or other illegal activities of these third-party representatives, our employees, contractors, and other agents, even if we do not explicitly authorize such activities. In addition, although we have implemented policies and procedures to ensure compliance with anti-corruption laws, there can be no assurance all of our employees, representatives, contractors, or agents will comply with these laws at all times.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Non-compliance with these laws could subject us to whistleblower complaints, investigations, sanctions, settlements, prosecution, other enforcement actions, disgorgement of profits, significant fines, damages, other civil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53670"/>
                <wp:effectExtent l="0" t="0" r="0" b="0"/>
                <wp:wrapNone/>
                <wp:docPr id="32" name="Frame3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United States and other countries maintain and administer export and import laws and regulations, including various economic and trade sanctions such as those administered by the Office of Foreign Assets Control, which apply to our business.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Changes in our platform, or changes in applicable export or import laws and regulations, may create delays in the introduction and sale of our platform in international markets or, in some cases, prevent the export or import of our platform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platform or in our decreased ability to export or sell our platform to existing or potential customers. Any decreased use of our services or limitation on our ability to export or sell our services would likely adversely affect our business,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incorporate encryption technology into certain of our products. Encryption products may be exported outside of the United States only with the required export authorization, including by license, license exception, or other appropriate government authorization. Obtaining the necessary export license or other authorization for a particular sale may be time-consuming and may result in the delay or loss of sales opportunities.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Although we take precautions to prevent our products from being provided in violation of such laws, our products may have been in the past, and could in the future, be provided inadvertently in violation of such laws, despite the precautions we take. Governmental regulation of encryption technology and regulation of imports or exports, or our failure to obtain required import or export approval for our products, could harm our international sales and adversely affect our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Moreover, U.S. export control laws and economic sanctions programs prohibit the provision of services to countries, governments, and persons subject to U.S. economic embargoes and trade sanctions. Even though we take precautions to prevent our platform from being used by U.S. sanctions targets, our platform could be used by a sanctioned person or in an embargoed country despite such precautions. Any such shipment could have negative consequences, including government investigations, penalties, and reputational harm.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Intellectual Property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Any failure to protect our proprietary technology and intellectual property rights could substantially harm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53670"/>
                <wp:effectExtent l="0" t="0" r="0" b="0"/>
                <wp:wrapNone/>
                <wp:docPr id="33" name="Frame3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2025, we had 28 issued patents and 21 pending patent applications related to our platform and its technology. We have registered the “Appian” name and logo in the United States and certain other countries. We have registrations and/or pending applications for additional marks in the United States. We cannot provide assurance any current or future applications for registrations for patent or trademark applications will result in the grant of any valid, enforceable intellectual property rights. Further, we cannot provide assurance any granted patent or trademark will provide the protection we seek, will be valid if challenged, or will be sufficiently broad in actions against alleged infringers. Moreover, any of our granted intellectual property rights may be rendered invalid by future changes in the law, defects in our prosecution processes, or preexisting technology, rights, or marks.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the contractual provisions we enter into may not prevent unauthorized use or disclosure of our proprietary technology or intellectual property rights and may not provide an adequate remedy in the event of any such unauthorized use or disclosure.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we expand our activities outside of the United States, our exposure to unauthorized copying and use of our platform and proprietary information may increase. We may be unable to determine the extent of any unauthorized use or infringement of our platform, technologies, or intellectual property rights.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There can be no assurance the steps we take will be adequate to protect our proprietary technology and intellectual property, that others will not develop or patent similar or superior technologies, products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order to protect our intellectual property rights, we may be required to spend significant resources to monitor and protect these rights. Litigation brought to protect and enforce our intellectual property rights has been and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impact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may be subject to intellectual property rights claims by third parties, which are extremely costly to defend, could require us to pay significant damages, and could limit our ability to use certain technologies.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53670"/>
                <wp:effectExtent l="0" t="0" r="0" b="0"/>
                <wp:wrapNone/>
                <wp:docPr id="34" name="Frame3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provide little or no deterrence. In the past, we have been subject to allegations of patent infringement that were unsuccessful, and we may in the future be subject to claims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also generally grant our customers ownership of any custom applications we develop for them, subject to our continued ownership of our pre-existing intellectual property rights and, in the past, a customer for whom we have developed custom applications has incorrectly alleged applications we have independently developed infringed the customer’s intellectual property rights. In addition, we have in the past, and may in the future, be subject to claims that our employees, contractors, or we ourselves have inadvertently or otherwise used or disclosed trade secrets or other proprietary information of our competitors or other parties. To the extent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There may be third-party intellectual property rights, including issued or pending patents that cover significant aspects of our technologies or business methods. Any intellectual property claims, with or without merit, could be very time-consuming, expensive to settle or litigate, divert our management’s attention and other resources, and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Moreover, to the extent we only have a license to any intellectual property used in our platform,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 our use of AI technologies internally and implemented as part of our platform may expose us to additional risks regarding our intellectual property. To the extent we do not have sufficient rights to use any data or other material or content produced by generative AI in our business, or if we experience cybersecurity incidents in connection with our use of AI, it could adversely affect our reputation and expose us to legal liability or regulatory risk, including with respect to third-party intellectual property, privacy, publicity, contractual, or other rights. Given we rely on third-party providers for underlying large language model technology, and we do not have full knowledge as to the entire set of data on which each underlying third-party AI model was trained on, our ability to mitigate such risks directly is limited. For more information on the legal and regulatory risks associated with the</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use of AI, please see our risk factors above at “—AI is a disruptive set of technologies that may affect the markets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for our software dramatically and in unpredictable ways,” and “—Regulatory and legislative developments related to</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 use of AI could adversely affect our use of such technologies in our products, services, and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Portions of our platform utilize open source software, and any failure to comply with the terms of one or more of these open source licenses could negatively affect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software contains software licensed to us by third parties under so-called “open source” licenses, including the GNU Lesser General Public License, the BSD License, and others. From time to time, there have been claims against companies that distribute or use open source software in their products and services, asserting such open source software infringes the claimants’ intellectual property rights. We could be subject to suits by parties claiming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53670"/>
                <wp:effectExtent l="0" t="0" r="0" b="0"/>
                <wp:wrapNone/>
                <wp:docPr id="35" name="Frame3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quality of the code. In addition, certain open source licenses require source code for software programs subject to the license be made available to the public and that any modifications or derivative works to such open source software continue to be licensed under the same terms.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these licenses could be construed in a way that could impose unanticipated conditions or restrictions on our ability to commercialize our platform. By the terms of certain open source licenses, we could be required to release the source code of our software and to make our software available under open source licenses, if we combine or distribute our software with open source software in a certain manner. In the event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platform. Many of the risks associated with usage of open source software cannot be eliminated and could negatively affect our business, results of operations, and financial condition.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Tax and Accounting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our estimates or judgments relating to our critical accounting estimates prove to be incorrect, our results of operations could be adversely affected.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preparation of consolidated financial statements in conformity with GAAP requires management to make estimates and assumptions that affect the amounts reported in the consolidated financial statements and accompanying notes. We base our estimates on historical experience and on various other assumptions we believe to be reasonable under the circumstances as provided in Part II, Item 7, “Management’s Discussion and Analysis of Financial Condition and Results of Operations” of this Annual Report on Form 10-K. The results of these estimates form the basis for making judgments about the amount of revenue. Significant assumptions and estimates used in preparing our consolidated financial statements include those related to revenue recognition. Our results of operations may be adversely affected if our assumptions change or if actual circumstances differ from those in our assumptions in our critical accounting policies, which could cause our results of operations to fall below the expectations of securities analysts and investors, resulting in a decline in the trading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operating results may be negatively affected by additional tax liabilities.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currently collect and remit sales and use, value added, and other transaction taxes in certain of the jurisdictions where we do business based on our assessment of whether tax is owed by us in such jurisdictions. However, in some jurisdictions in which we do business, we do not believe we owe such taxes, and therefore we currently do not collect and remit such taxes or record contingent tax liabilities in those jurisdictions. 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platform, or the imposition of new laws or regulations requiring the payment of additional taxes, would create increased costs and administrative burdens for us. If we are subject to additional taxes and determined to offset such increased costs by collecting and remitting sales taxes from our customers, or otherwise passing those costs through to our customers, companies may be discouraged from using our platform. Any increased tax burden may decrease our ability or willingness to compete in relatively burdensome tax jurisdictions, result in substantial tax liabilities related to past sales, or otherwise harm our business and operating results.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53670"/>
                <wp:effectExtent l="0" t="0" r="0" b="0"/>
                <wp:wrapNone/>
                <wp:docPr id="36" name="Frame3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as a multinational organization, we may be subject to taxation in several jurisdictions around the world with increasingly complex tax laws and the amount of taxes we pay in these jurisdictions could increase substantially as a result of changes in the applicable tax principles, including increased tax rates, new tax laws, or revised interpretations of existing tax laws and precedents. Furthermore, the authorities in these jurisdictions could review our tax returns and impose additional tax, interest, and penalties, and the authorities could claim various withholding requirements apply to us or our subsidiaries or assert benefits of tax treaties are not available to us or our subsidiaries, any of which could have a material impact on us and the results of our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ability to use net operating losses to offset future taxable income may be subject to certain limitations.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we had gross U.S. federal and state net operating loss carryforwards, or NOLs, of $325.6 million available to offset future taxable income. NOLs generated in tax years ended on or prior to December 31, 2017 will substantially expire by 2037 if unused. As a result of certain provisions in the Tax Cuts and Jobs Act of 2017, or the TCJA, as modified by the Coronavirus Aid, Relief, and Economic Security Act, or CARES Act, federal NOLs generated in tax years beginning after December 31, 2017 may be carried forward indefinitely but, in the case of tax years beginning after 2020, may only be used to offset 80% of our taxable income annually.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more-than-50-percent ownership change over a three-year testing period. Based upon our analysis as of December 31, 2025, we have determined we do not expect these limitations to impair our ability to use our NOLs prior to expiration. However, if changes in our ownership occur in the future, our ability to use our NOLs may be further limited. For these reasons, we may not be able to utilize a material portion of the NOLs.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we also had gross foreign NOLs of $231.6 million, primarily at our Swiss subsidiary, Appian Software International. As of December 31, 2025, we had tax-effected Swiss NOLs of $26.2 million. We also had tax-effected Swiss NOL expirations of $3.0 million in 2025, and some of our foreign NOLs will continue to expire each year if unutilized. If we are limited in our ability to use our NOLs in future years in which we have taxable income, we will pay more taxes than if we were able to fully utilize our NOLs. This could adversely affect our operating results and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During the evaluation and testing process of our internal controls, if we identify one or more material weaknesses in our internal control over financial reporting, we will be unable to assert our internal control over financial reporting is effective. While we have established certain procedures and controls over our financial reporting processes, we cannot provide assurance these efforts will prevent restatements of our financial statements in the future. Our independent registered public accounting firm is also required, pursuant to Section 404, to attest to and report on management’s assessment of our internal control over financial reporting, which report is included elsewhere in this Annual Report on Form 10-K. This assessment is required to include disclosure of any material weaknesses identified by our management in our internal control over financial reporting. For future reporting periods, our independent registered public accounting firm may issue a report that is adverse in the event it is not satisfied with the level at which our controls are documented, designed, or operating. We may not be able to remediate any future material weaknesses or to complete our evaluation, testing, and any required remediation in a timely fashion.</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53670"/>
                <wp:effectExtent l="0" t="0" r="0" b="0"/>
                <wp:wrapNone/>
                <wp:docPr id="37" name="Frame3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Any failure to maintain internal control over financial reporting could severely inhibit our ability to accurately report our financial condition or results of operations. If we are unable to conclude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Risks Related to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The dual class structure of our common stock and the existing ownership of capital stock by Matt Calkins, our founder and Chief Executive Officer, has the effect of concentrating voting control with Mr. Calkins for the foreseeable future, which will limit the ability of others to influence corporate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B common stock has ten votes per share, and our Class A common stock has one vote per share. Given the greater number of votes per share attributed to our Class B common stock, our Class B stockholders collectively beneficially owned shares representing approximately 88% of the voting power of our outstanding capital stock as of December 31, 2025. Further, Mr. Calkins, our founder and Chief Executive Officer, together with his affiliates, collectively beneficially owned shares representing approximately 77% of the voting power of our outstanding capital stock as of December 31, 2025. Consequently, Mr. Calkins, together with his affiliates, is able to control a majority of the voting power even if their stock holdings represent as few as approximately 24% of the outstanding number of shares of our common stock. This concentrated control will limit the ability of others to influence corporate matters for the foreseeable future. For example, Mr. Calkins will be able to control elections of directors, amendments of our certificate of incorporation or bylaws, increases to the number of shares available for issuance under our equity incentive plans or adoption of new equity incentive plans, and approval of any merger or sale of assets for the foreseeable future. This concentrated control could also discourage a potential investor from acquiring our Class A common stock due to the limited voting power of such stock relative to the Class B common stock and might harm the market price of our Class A common stock. In addition, Mr. Calkins has the ability to control the management and major strategic investments of our company as a result of his position as our Chief Executive Officer and his ability to control the election or replacement of our directors. As a board member and officer, Mr. Calkins owes a fiduciary duty to our stockholders and must act in good faith in a manner he reasonably believes to be in the best interests of our stockholders. However, as a stockholder, even a controlling stockholder, Mr. Calkins is entitled to vote his shares, and shares over which he has voting control, in his own interests, which may not always be in the interests of our stockholders generally.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Future transfers by Mr. Calkins and other holders of Class B common stock will generally result in those shares converting on a 1:1 basis to Class A common stock, which will have the effect, over time, of increasing the relative voting power of those holders of Class B common stock who retain their shares in the long-term.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Actions of activist stockholders could adversely impact our business and cause us to incur significant expenses.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currently have, and may in the future have, investors holding more than 5% of our Class A common stock. Some of these investors may be, or may in the future be, activist shareholders. Such activist shareholders may subject us to actions or proposals, including public communications, engagement with our management and Board of Directors, proposals relating to strategic alternatives, operational or governance changes, capital allocation initiatives, director nominations, or proxy contests. Engagement with activist stockholders may lead to the expenditure of significant time and energy by management and our Board of Directors and require dedication by the Company of significant resources. Any of the foregoing could adversely impact our business, financial condition and results of operations. Also, we may be required to incur significant fees and expenses related to responding to stockholder activism, including for third-party advisors. Further, the market price of our Class A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53670"/>
                <wp:effectExtent l="0" t="0" r="0" b="0"/>
                <wp:wrapNone/>
                <wp:docPr id="38" name="Frame3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could be subject to significant fluctuation or otherwise be adversely affected by the events, risks and uncertainties described above.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We do not intend to pay dividends on our common stock for the foreseeable future, so any returns will depend on appreciation in the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never declared or paid any cash dividends on our common stock, and we do not intend to pay any cash dividends in the foreseeable future. We anticipate we will retain all of our future earnings for use in the development of our business and for general corporate purposes. Additionally, our ability to pay dividends on our common stock is limited by restrictions under the terms of our Credit Agreement.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to the effects of our dual class structure, 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 a Delaware corporation from engaging in any of a broad range of business combinations with any “interested” stockholder for a period of three years following the date on which the stockholder became an “interested” stockholder. Any of the foregoing provisions could limit the price investors might be willing to pay in the future for shares of our Class A common stock, and they could deter potential acquirers of our company, thereby reducing the likelihood a stockholder would receive a premium for its shares of our Class A common stock in an acquisition.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 and limit the market price of our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our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amended and restated certificate of incorporation, or our amended and restated bylaws, or (4) any action asserting a claim governed by the internal affairs doctrine. Our amended and restated certificate of incorporation also provides the federal district courts of the United States of America will be the exclusive forum for resolving any complaint asserting a cause of action arising under the Securities Act. Our amended and restated certificate of incorporation further provides any person or entity purchasing or otherwise acquiring any interest in shares of our Class A common stock is deemed to have notice of and consented to the foregoing provisions. The forum selection clause in our amended and restated certificate of incorporation may limit our stockholders’ ability to obtain a favorable judicial forum for disputes with us and limit the market price of our Class A common stock.</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General Risk Factors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Unfavorable conditions in the global economy or the vertical markets we serve could limit our ability to grow our business and negatively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53670"/>
                <wp:effectExtent l="0" t="0" r="0" b="0"/>
                <wp:wrapNone/>
                <wp:docPr id="39" name="Frame3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 worldwide economic conditions have experienced significant instability due to the global economic uncertainty and financial market conditions caused by the ongoing Russia-Ukraine war and unrest in the Middle East. In addition, inflation rates in the recent past rose to historically high levels. The existence of inflation in the U.S. and global economy has, and may continue to result in, higher interest rates and capital costs, increased costs of labor, fluctuating exchange rates, and other similar effects.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These conditions make it extremely difficult for customers and us to accurately forecast and plan future business activities and could cause customers to reduce or delay their software spending. At this time, the potential impact on customer spend from an economic slowdown is difficult to predict and, therefore, it is not possible to fully determine the impact on our future results. Historically, economic downturns have resulted in overall reductions in software spending. If macroeconomic conditions deteriorate or are characterized by uncertainty or volatility, customers may curtail or freeze spending on software in general and for software such as ours specifically, which could have an adverse impact on our business, financial condition, and operating results.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Furthermore, we cannot predict the timing, strength, or duration of any economic slowdown or recovery. In addition, even if the overall economy is robust, we cannot provide assurances the market for services such as ours will experience growth or that we will experience growth.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Our stock price has been volatile and may be volatile in the future.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market price of our Class A common stock has been volatile and may continue to fluctuate substantially as a result of a variety of factors. Since shares of our Class A common stock were sold in our initial public offering, or IPO, in May 2017 at a price of $12.00 per share, our stock price has ranged from an intraday low of $14.60 to an intraday high of $260.00 through February 17, 2026. Factors that may affect the market price of our Class A common stock and our ability to raise capital through the sale of additional equity securities include: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Actual or anticipated fluctuations in our financial condition and operating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Variance in our financial performance from expectations of securities analysts;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prices of subscriptions to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our projected operating and financial results;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laws or regulations applicable to our platform;</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Announcements by us or our competitors of significant business developments, acquisitions, or new offerings;</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involvement in any litigation;</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Our sale of our Class A common stock or other securities in the future;</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senior management or key personnel;</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The trading volume of our Class A common stock;</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Trading activity by any of our four large stockholders who collectively owned approximately 29% of our publicly traded Class A common stock as of December 31, 2025;</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Changes in the anticipated future size and growth rate of our market; and</w:t>
      </w:r>
    </w:p>
    <w:p>
      <w:pPr>
        <w:pStyle w:val="TextBody"/>
        <w:bidi w:val="0"/>
        <w:spacing w:lineRule="auto" w:line="288" w:before="120" w:after="283"/>
        <w:ind w:left="0" w:right="0" w:hanging="360"/>
        <w:jc w:val="left"/>
        <w:rPr/>
      </w:pPr>
      <w:r>
        <w:rPr>
          <w:color w:val="000000"/>
        </w:rPr>
        <w:t>•</w:t>
      </w:r>
      <w:r>
        <w:rPr>
          <w:rFonts w:ascii="Tahoma;sans-serif" w:hAnsi="Tahoma;sans-serif"/>
          <w:b w:val="false"/>
          <w:color w:val="000000"/>
          <w:sz w:val="20"/>
        </w:rPr>
        <w:t>General economic, regulatory, and market conditions.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stock markets have experienced extreme price and volume fluctuations that have affected and continue to affect the market prices of equity securities of many companies, particularly during this time of uncertainty with increasing interest rates, inflation, and the prospects of a recession.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In the past, companies that have experienced volatility in the market price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53670"/>
                <wp:effectExtent l="0" t="0" r="0" b="0"/>
                <wp:wrapNone/>
                <wp:docPr id="40" name="Frame3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securities have been subject to securities class action litigation. We may be the target of this type of litigation in the future, which could result in substantial costs and divert our management’s attention.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If securities or industry analysts do not publish research or reports about our business, or publish negative reports about our business, our stock price and trading volume could decline.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trading market for our Class A common stock depends, in part, on the research and reports securities or industry analysts publish about us or our business. We do not have any control over these analysts. If our financial performance fails to meet analyst estimates or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53670"/>
                <wp:effectExtent l="0" t="0" r="0" b="0"/>
                <wp:wrapNone/>
                <wp:docPr id="41" name="Frame4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w:t>
      </w:r>
      <w:r>
        <w:rPr>
          <w:rFonts w:ascii="Tahoma;sans-serif" w:hAnsi="Tahoma;sans-serif"/>
          <w:b/>
          <w:color w:val="000000"/>
          <w:sz w:val="20"/>
        </w:rPr>
        <w:t>tem 1B. Unresolved Staff Comments.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None.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1C. Cybersecurity.</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Cybersecurity Risk Management</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part of our overall risk management system, we have established certain procedures to assess, identify, and manage material risks from cybersecurity threats. Our cybersecurity risk management system is designed to align with industry best practices, including with the National Institute of Standards &amp; Technology’s Cyber Security Framework (“NIST”) and other applicable industry standards, provide a framework for handling cybersecurity threats and incidents, and facilitate coordination across different departments of our company. As part of this system, we have a formally documented information security management program and conduct regular tabletop exercises that include participation from executive officers. In addition, we engage consultants and other third parties who are experts in the cybersecurity risk management field to review and provide testing services as well as general incident management services. These engagements directly contribute to industry certifications and attestations that demonstrate our dedication to protecting the data that we are entrusted with by customers. Our Governance, Risk, and Compliance team within the information security management program oversees and identifies material cybersecurity risks associated with our use of these third-party service providers through a formal vendor security risk management program.</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Board Governance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One of the Board’s key functions is informed oversight of our risk management process, which includes responsibility for ensuring management has processes in place designed to identify, evaluate, manage, and mitigate cybersecurity risks to which it is exposed. The Board receives regular updates, on at least a quarterly basis, from our senior management team on such cybersecurity risks, developments in cybersecurity, and updates to the Company’s information security management program. The Board is also involved in strategic decisions related to the impact of these risks on our business.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Management Governance Disclosure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senior management team, which includes our Chief Information Security Officer, or CISO, is responsible for identifying, assessing, and managing material risks from cybersecurity threats, as well as for establishing processes to ensure such risks are monitored and mitigated, with the CISO taking the lead on such matters. Our CISO, who joined Appian in May 2021, brings over 20 years’ experience in security and compliance initiatives, including experience in the software-as-a-service and platform-as-a-service cloud industries. We have documented the framework and process for when and by whom senior management is informed and when such information will be reported to the other parties in our Incident Response Guide, which is regularly reviewed and updated by the information security team.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2. Properties.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our corporate headquarters occupies approximately 300,000 square feet in McLean, Virginia under an operating lease that expires in October 2031. Approximately 32,000 square feet of headquarters space is subleased. We also lease space in Australia, Italy, India, Spain, and the United Kingdom under operating lease agreements with various expiration dates through 2030. In addition, we utilize flexible workspaces depending on the occupancy needs in each of the countries we operate in. We believe our facilities are suitable and adequate to meet our needs.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53670"/>
                <wp:effectExtent l="0" t="0" r="0" b="0"/>
                <wp:wrapNone/>
                <wp:docPr id="42" name="Frame4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3. Legal Proceedings.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Pegasystems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On May 29, 2020, we filed a civil complaint against Pegasystems, Inc. (“Pegasystems”) and Youyong Zou, a Virginia resident, in the Circuit Court for Fairfax County, Virginia. </w:t>
      </w:r>
      <w:r>
        <w:rPr>
          <w:rFonts w:ascii="Tahoma;sans-serif" w:hAnsi="Tahoma;sans-serif"/>
          <w:b w:val="false"/>
          <w:i/>
          <w:color w:val="000000"/>
          <w:sz w:val="20"/>
        </w:rPr>
        <w:t>Appian Corp v. Pegasystems Inc. &amp; Youyong Zou, No. 2020-07216 (Fairfax Cty. Ct.)</w:t>
      </w:r>
      <w:r>
        <w:rPr>
          <w:rFonts w:ascii="Tahoma;sans-serif" w:hAnsi="Tahoma;sans-serif"/>
          <w:b w:val="false"/>
          <w:color w:val="000000"/>
          <w:sz w:val="20"/>
        </w:rPr>
        <w:t xml:space="preserve">. 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Defendant Youyong Zou has satisfied the judgment of $5,000 (plus interest) against him in lieu of appealing that judgment. On September 15, 2022, Pegasystems filed a notice of appeal to the Court of Appeals of Virginia. On July 30, 2024, the Court of Appeals of Virginia issued a decision reversing the judgment against Pegasystems and remanding for a new trial. The decision rejected Pegasystems’ argument that Appian had not presented evidence that trade secrets were misappropriated but reversed the judgment on the basis of evidentiary and damages rulings made by the trial court. On August 29, 2024, Appian submitted a petition to the Supreme Court of Virginia seeking to reverse the Court of Appeals decision and reinstate the full judgment against Pegasystems. Pegasystems filed an opposition to the petition and cross-issues for appeal on October 21, 2024. Appian’s petition was heard on February 11, 2025. On January 6, 2026, the Supreme Court of Virginia issued an opinion affirming the opinion rendered by the Court of Appeals on both sides and remanding the case for a retrial. The timeline for any further appeals or any retrial will be in the control of the courts of Virginia.</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From time to time, we may become involved in legal proceedings or be subject to claims arising in the ordinary course of our business. Other than as disclosed elsewhere in this Annual Report on Form 10-K,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time and resources, and other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4. Mine Safety Disclosures.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53670"/>
                <wp:effectExtent l="0" t="0" r="0" b="0"/>
                <wp:wrapNone/>
                <wp:docPr id="43" name="Frame4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5. Market for Registrant's Common Equity, Related Stockholder Matters, and Issuer Purchases of Equity Securities.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Market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Class A common stock is listed on the Nasdaq Global Market under the symbol “APPN.” Our Class B common stock is not listed or traded on any stock exchange.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February 17, 2026, there were 15 holders of record of our Class A common stock and 28 holders of record of our Class B common stock. Because many of our shares of Class A common stock are held by brokers and other institutions on behalf of stockholders, we are unable to estimate the total number of stockholders represented by these record holders.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Dividends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never declared or paid as a public company, and do not anticipate declaring or paying in the foreseeable future, any cash dividends on our common stock. Any future determination as to the declaration and payment of dividends or share repurchase program, if any, will be at the discretion of our Board of Directors, subject to applicable laws, and depend on then existing conditions, including our financial condition, operating results, contractual restrictions pursuant to our outstanding Credit Agreement, capital requirements, business prospects, and other factors our Board of Directors may deem relevant.</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53670"/>
                <wp:effectExtent l="0" t="0" r="0" b="0"/>
                <wp:wrapNone/>
                <wp:docPr id="44" name="Frame4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Stock Performance Graph</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This section is not deemed “filed” with the SEC and shall not be deemed incorporated by reference into any of our other filings under the Exchange Act or the Securities Act, irrespective of any general incorporation language in any such filing.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graph shows a comparison from December 31, 2020 through December 31, 2025, of the cumulative five year total return for an investment of $100 in our Class A common stock, the Nasdaq Global Market Composite Index, and the Nasdaq Computer Index. Data for the Nasdaq Global Market Composite Index and the Nasdaq Computer Index assume reinvestment of any dividends. The comparisons in the graph below are based upon historical data and are not indicative of, nor intended to forecast, future performance of our common stock.</w:t>
      </w:r>
    </w:p>
    <w:p>
      <w:pPr>
        <w:pStyle w:val="TextBody"/>
        <w:bidi w:val="0"/>
        <w:spacing w:lineRule="auto" w:line="288" w:before="240" w:after="283"/>
        <w:ind w:left="0" w:right="0" w:firstLine="360"/>
        <w:jc w:val="center"/>
        <w:rPr>
          <w:rFonts w:ascii="Tahoma;sans-serif" w:hAnsi="Tahoma;sans-serif"/>
          <w:b/>
          <w:color w:val="000000"/>
          <w:sz w:val="28"/>
        </w:rPr>
      </w:pPr>
      <w:r>
        <w:rPr>
          <w:rFonts w:ascii="Tahoma;sans-serif" w:hAnsi="Tahoma;sans-serif"/>
          <w:b/>
          <w:color w:val="000000"/>
          <w:sz w:val="28"/>
        </w:rPr>
        <w:t>Comparison of Cumulative Five Year Total Return</w:t>
      </w:r>
    </w:p>
    <w:p>
      <w:pPr>
        <w:pStyle w:val="TextBody"/>
        <w:bidi w:val="0"/>
        <w:spacing w:lineRule="auto" w:line="288" w:before="60" w:after="283"/>
        <w:ind w:left="0" w:right="0" w:firstLine="360"/>
        <w:jc w:val="center"/>
        <w:rPr>
          <w:rFonts w:ascii="Tahoma;sans-serif" w:hAnsi="Tahoma;sans-serif"/>
          <w:b w:val="false"/>
          <w:color w:val="000000"/>
          <w:sz w:val="20"/>
        </w:rPr>
      </w:pPr>
      <w:r>
        <w:rPr>
          <w:rFonts w:ascii="Tahoma;sans-serif" w:hAnsi="Tahoma;sans-serif"/>
          <w:b w:val="false"/>
          <w:color w:val="000000"/>
          <w:sz w:val="20"/>
        </w:rPr>
        <w:t>Among Appian Corporation, the Nasdaq Global Market Composite Index, and the Nasdaq Computer Index</w:t>
      </w:r>
    </w:p>
    <w:p>
      <w:pPr>
        <w:pStyle w:val="TextBody"/>
        <w:bidi w:val="0"/>
        <w:spacing w:before="60" w:after="283"/>
        <w:ind w:left="0" w:right="0" w:firstLine="360"/>
        <w:jc w:val="center"/>
        <w:rPr/>
      </w:pPr>
      <w:r>
        <w:rPr/>
        <w:drawing>
          <wp:inline distT="0" distB="0" distL="0" distR="0">
            <wp:extent cx="6029325" cy="3619500"/>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3"/>
                    <a:stretch>
                      <a:fillRect/>
                    </a:stretch>
                  </pic:blipFill>
                  <pic:spPr bwMode="auto">
                    <a:xfrm>
                      <a:off x="0" y="0"/>
                      <a:ext cx="6029325" cy="3619500"/>
                    </a:xfrm>
                    <a:prstGeom prst="rect">
                      <a:avLst/>
                    </a:prstGeom>
                  </pic:spPr>
                </pic:pic>
              </a:graphicData>
            </a:graphic>
          </wp:inline>
        </w:drawing>
      </w:r>
      <w:bookmarkStart w:id="1" w:name="i-2"/>
      <w:bookmarkEnd w:id="1"/>
    </w:p>
    <w:tbl>
      <w:tblPr>
        <w:tblW w:w="10205" w:type="dxa"/>
        <w:jc w:val="center"/>
        <w:tblInd w:w="0" w:type="dxa"/>
        <w:tblLayout w:type="fixed"/>
        <w:tblCellMar>
          <w:top w:w="28" w:type="dxa"/>
          <w:left w:w="28" w:type="dxa"/>
          <w:bottom w:w="28" w:type="dxa"/>
          <w:right w:w="28" w:type="dxa"/>
        </w:tblCellMar>
      </w:tblPr>
      <w:tblGrid>
        <w:gridCol w:w="797"/>
        <w:gridCol w:w="701"/>
        <w:gridCol w:w="705"/>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5"/>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2020</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Appian Corporation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Nasdaq Global Market Composite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Nasdaq Computer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258.44 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53670"/>
                <wp:effectExtent l="0" t="0" r="0" b="0"/>
                <wp:wrapNone/>
                <wp:docPr id="46" name="Frame4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Purchase of Equity Securities by the Issuer and Affiliated Purchases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19"/>
        <w:gridCol w:w="427"/>
        <w:gridCol w:w="428"/>
        <w:gridCol w:w="576"/>
        <w:gridCol w:w="502"/>
        <w:gridCol w:w="503"/>
        <w:gridCol w:w="109"/>
        <w:gridCol w:w="109"/>
        <w:gridCol w:w="109"/>
        <w:gridCol w:w="292"/>
        <w:gridCol w:w="895"/>
        <w:gridCol w:w="151"/>
        <w:gridCol w:w="109"/>
        <w:gridCol w:w="109"/>
        <w:gridCol w:w="109"/>
        <w:gridCol w:w="808"/>
        <w:gridCol w:w="748"/>
        <w:gridCol w:w="751"/>
        <w:gridCol w:w="109"/>
        <w:gridCol w:w="109"/>
        <w:gridCol w:w="109"/>
        <w:gridCol w:w="884"/>
        <w:gridCol w:w="673"/>
        <w:gridCol w:w="967"/>
      </w:tblGrid>
      <w:tr>
        <w:trPr/>
        <w:tc>
          <w:tcPr>
            <w:tcW w:w="61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color w:val="000000"/>
                <w:sz w:val="18"/>
              </w:rPr>
              <w:t>Total number of shares purchased</w:t>
            </w:r>
            <w:r>
              <w:rPr>
                <w:rFonts w:ascii="Tahoma;sans-serif" w:hAnsi="Tahoma;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color w:val="000000"/>
                <w:sz w:val="18"/>
              </w:rPr>
              <w:t xml:space="preserve">Maximum number of shares that may yet be purchased under the plan </w:t>
            </w:r>
            <w:r>
              <w:rPr>
                <w:rFonts w:ascii="Tahoma;sans-serif" w:hAnsi="Tahoma;sans-serif"/>
                <w:b/>
                <w:color w:val="000000"/>
                <w:sz w:val="12"/>
              </w:rPr>
              <w:t>(2)</w:t>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October 1 to October 31, 2025</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6,406 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6,406 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723,518 </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November 1 to November 30, 2025</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7,077 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7,077 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716,441 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December 1 to December 31, 2025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5,026 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39.33 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5,026 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711,415 </w:t>
            </w:r>
          </w:p>
        </w:tc>
        <w:tc>
          <w:tcPr>
            <w:tcW w:w="9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10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18,509 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32.46 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18,509 </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711,415 </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ahoma;sans-serif" w:hAnsi="Tahoma;sans-serif"/>
          <w:b w:val="false"/>
          <w:color w:val="000000"/>
          <w:sz w:val="10"/>
        </w:rPr>
        <w:t xml:space="preserve">(1) </w:t>
      </w:r>
      <w:r>
        <w:rPr>
          <w:rFonts w:ascii="Tahoma;sans-serif" w:hAnsi="Tahoma;sans-serif"/>
          <w:b w:val="false"/>
          <w:color w:val="000000"/>
          <w:sz w:val="16"/>
        </w:rPr>
        <w:t>Shares purchased represent shares purchased on the open market pursuant to the Appian Corporation Employee Stock Purchase Plan, or ESPP, which was approved by the Company’s stockholders on June 11, 2021. The ESPP provides employees with an opportunity to purchase the Company’s common stock through payroll deductions and provides for a Company match of 5% to 15%, subject to limits set forth in the ESPP. Shares purchased under the ESPP are deposited into the participants’ accounts.</w:t>
      </w:r>
    </w:p>
    <w:p>
      <w:pPr>
        <w:pStyle w:val="TextBody"/>
        <w:bidi w:val="0"/>
        <w:spacing w:before="0" w:after="0"/>
        <w:jc w:val="both"/>
        <w:rPr/>
      </w:pPr>
      <w:r>
        <w:rPr/>
      </w:r>
    </w:p>
    <w:p>
      <w:pPr>
        <w:pStyle w:val="TextBody"/>
        <w:bidi w:val="0"/>
        <w:spacing w:lineRule="auto" w:line="288" w:before="0" w:after="0"/>
        <w:jc w:val="both"/>
        <w:rPr/>
      </w:pPr>
      <w:r>
        <w:rPr>
          <w:rFonts w:ascii="Tahoma;sans-serif" w:hAnsi="Tahoma;sans-serif"/>
          <w:b w:val="false"/>
          <w:color w:val="000000"/>
          <w:sz w:val="10"/>
        </w:rPr>
        <w:t xml:space="preserve">(2) </w:t>
      </w:r>
      <w:r>
        <w:rPr>
          <w:rFonts w:ascii="Tahoma;sans-serif" w:hAnsi="Tahoma;sans-serif"/>
          <w:b w:val="false"/>
          <w:color w:val="000000"/>
          <w:sz w:val="16"/>
        </w:rPr>
        <w:t>Because the number of shares that may be purchased under the ESPP depends on each employee’s voluntary election to participate, individual contribution elections, and the fair market value of our Class A common stock at various future dates, the actual number of shares that may be purchased under the plan cannot be determined in advance. We have filed a registration statement on S-8 that covers 1,000,000 shares.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Item 6.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53670"/>
                <wp:effectExtent l="0" t="0" r="0" b="0"/>
                <wp:wrapNone/>
                <wp:docPr id="47" name="Frame4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7. Management's Discussion and Analysis of Financial Condition and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the following discussion contains forward-looking statements that reflect our plans, estimates, and beliefs. Our actual results could differ materially from those contained in or implied by any forward-looking statements. Factors that could cause or contribute to these differences include those under “Risk Factors” included in Part I, Item 1A or in other parts of this Annual Report on Form 10-K.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Overview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provides process automation technology. For over 25 years, our highly reliable and scalable platform has been leveraged by large enterprises and governments. Combining leading edge process orchestration, automation, and intelligence, we provide everything an organization needs to design, automate, and optimize critical processes, facilitating continuous adaptation in changing environments.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generated the majority of our revenue from sales of subscriptions, which include (1) cloud subscriptions bundled with maintenance and support and hosting services and (2) license subscriptions, and (3) maintenance and support for license subscriptions. Our subscription contracts are priced based on the number of users who access and utilize the applications built on our platform, non-user-based single application licenses, or consumption-based pricing. Our subscription contract terms generally vary from one to three years with most providing for payment in advance on an annual, quarterly, or monthly basis.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invested in our professional services organization to help ensure customers are able to build and deploy applications on our platform. We also have several strategic partnerships, including with Accenture, Capgemini, Deloitte, Indra Group, KPMG, and PwC, which allow them to refer customers to us in order to purchase software subscriptions. Our partners then provide professional services directly to the customers using our software. Additionally, they often go to market with their own pre-built solutions using our platform, delivering software license revenue to us. We intend to continue to invest in both our professional services group and strategic partnerships to drive increased adoption of our platform. We believe our investment in professional services, including strategic partners building their practices around Appian, will drive increased adoption of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customers primarily include financial services, government, life sciences, insurance, manufacturing, energy, healthcare, telecommunications, and transportation organizations. Generally, our sales team targets its efforts to organizations with over 2,000 employees and $2.0 billion in annual revenue. Revenue from U.S. federal government agencies represented 25.3%, 23.9%, and 21.3% of our total revenue in 2025, 2024, and 2023, respectively. No</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single end-customer accounted for more than 10% of our total revenue in 2025, 2024, and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offer our platform globally. Our platform supports multiple languages to facilitate collaboration and address challenges in multinational organizations. In 2025, 2024, and 2023, 37.6%, 36.6%, and 35.8%, respectively, of our total revenue was generated from customers outside of the United States. As of December 31, 2025, we operated in 16 countries. We believe we have a significant opportunity to continue to grow our international footprint, and we are investing in new geographies, including through investment in direct and indirect sales channels, professional services, and customer support and implementation partners.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strong revenue growth, with revenue of $726.9 million, $617.0 million, and $545.4 million in 2025, 2024, and 2023, respectively. Our subscriptions revenue was $576.5 million, $490.6 million, and $412.3 million in 2025, 2024, and 2023, respectively, and includes sales of our cloud subscriptions, license subscriptions, and maintenance and support. Our cloud subscriptions revenue was $437.4 million, $368.0 million, and $304.5 million in 2025, 2024, and 2023,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invested in developing our platform, expanding our sales and marketing and research and development capabilities, and providing general and administrative resources to support our growth. In 2025,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53670"/>
                <wp:effectExtent l="0" t="0" r="0" b="0"/>
                <wp:wrapNone/>
                <wp:docPr id="48" name="Frame4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recorded net income of $1.2 million while in 2024 and 2023, we incurred net losses of $92.3 million and $111.4 million, respectively. Furthermore, in 2025 and 2024, cash provided by operations was $62.9 million and $6.9 million, respectively, while cash used by operations totaled $110.4 million in 2023. We intend to continue to invest in our business to take advantage of our market opportunity.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Our Business Model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business model focuses on maximizing the lifetime value of customer relationships, which is a function of the duration of a customer’s deployment of our platform as well as the price and number of subscriptions of our platform a customer purchases. We incur significant customer acquisition costs, including expenses associated with hiring new sales representatives, who can take anywhere from six months to a year to become productive given the length of our sales cycle, sales commissions, and marketing costs, all of which, with the exception of certain types of sales commissions, are expensed as incurred.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At the same time, we believe the costs we incur to retain customers and drive additional purchases of software are lower than our customer acquisition costs on a relative basis. Over time, we expect a large portion of our customers to renew their subscriptions and purchase additional subscriptions as they continue to build more applications and add more users to our platform.</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Factors Affecting Our Performance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are several key factors that affect our performance:</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i/>
          <w:color w:val="000000"/>
          <w:sz w:val="20"/>
        </w:rPr>
        <w:t>Market Adoption of Our Platform -</w:t>
      </w:r>
      <w:r>
        <w:rPr>
          <w:color w:val="000000"/>
        </w:rPr>
        <w:t xml:space="preserve"> </w:t>
      </w:r>
      <w:r>
        <w:rPr>
          <w:rFonts w:ascii="Tahoma;sans-serif" w:hAnsi="Tahoma;sans-serif"/>
          <w:b w:val="false"/>
          <w:color w:val="000000"/>
          <w:sz w:val="20"/>
        </w:rPr>
        <w:t>Our ability to grow our customer base and drive market adoption of our platform is affected by the pace at which organizations automate processes. We expect our revenue growth will be primarily driven by the pace of adoption and penetration of our platform. We offer a leading process automation platform and intend to continue to invest to expand our customer base. The degree to which prospective customers recognize the need for our software platform and its ability to enable their organizations to automate processes, and subsequently allocate budget dollars to purchase our software, will drive our ability to acquire new customers and increase sales to existing customers, which, in turn, will affect our future financial performance.</w:t>
      </w:r>
    </w:p>
    <w:p>
      <w:pPr>
        <w:pStyle w:val="TextBody"/>
        <w:bidi w:val="0"/>
        <w:spacing w:lineRule="auto" w:line="288" w:before="120" w:after="283"/>
        <w:ind w:left="0" w:right="0" w:hanging="360"/>
        <w:jc w:val="left"/>
        <w:rPr/>
      </w:pPr>
      <w:r>
        <w:rPr>
          <w:color w:val="000000"/>
          <w:shd w:fill="FFFFFF" w:val="clear"/>
        </w:rPr>
        <w:t>•</w:t>
      </w:r>
      <w:r>
        <w:rPr>
          <w:rFonts w:ascii="Tahoma;sans-serif" w:hAnsi="Tahoma;sans-serif"/>
          <w:b/>
          <w:i/>
          <w:color w:val="000000"/>
          <w:sz w:val="20"/>
        </w:rPr>
        <w:t>Growth of Our Customer Base -</w:t>
      </w:r>
      <w:r>
        <w:rPr>
          <w:color w:val="000000"/>
        </w:rPr>
        <w:t xml:space="preserve"> </w:t>
      </w:r>
      <w:r>
        <w:rPr>
          <w:rFonts w:ascii="Tahoma;sans-serif" w:hAnsi="Tahoma;sans-serif"/>
          <w:b w:val="false"/>
          <w:color w:val="000000"/>
          <w:sz w:val="20"/>
        </w:rPr>
        <w:t>We believe we have a substantial opportunity to grow our customer base. We have invested, and intend to continue to invest, in our sales team in order to drive sales to new customers. We continue to make investments to enhance the expertise of our sales and marketing organization within our key industry verticals of financial services, government, life sciences, insurance, and manufacturing. In 2025, we generated approximately 80% of our subscriptions revenue from customers in these verticals. In addition, we have established relationships with strategic partners who work with organizations undergoing process automations. Our ability to continue to grow our customer base is dependent, in part, upon our ability to differentiate ourselves within the increasingly competitive markets in which we participate.</w:t>
      </w:r>
    </w:p>
    <w:p>
      <w:pPr>
        <w:pStyle w:val="TextBody"/>
        <w:bidi w:val="0"/>
        <w:spacing w:lineRule="auto" w:line="288" w:before="120" w:after="283"/>
        <w:ind w:left="0" w:right="0" w:hanging="360"/>
        <w:jc w:val="left"/>
        <w:rPr/>
      </w:pPr>
      <w:r>
        <w:rPr>
          <w:color w:val="000000"/>
        </w:rPr>
        <w:t>•</w:t>
      </w:r>
      <w:r>
        <w:rPr>
          <w:rFonts w:ascii="Tahoma;sans-serif" w:hAnsi="Tahoma;sans-serif"/>
          <w:b/>
          <w:i/>
          <w:color w:val="000000"/>
          <w:sz w:val="20"/>
        </w:rPr>
        <w:t>Further Penetration of Existing Customers -</w:t>
      </w:r>
      <w:r>
        <w:rPr>
          <w:color w:val="000000"/>
        </w:rPr>
        <w:t xml:space="preserve"> </w:t>
      </w:r>
      <w:r>
        <w:rPr>
          <w:rFonts w:ascii="Tahoma;sans-serif" w:hAnsi="Tahoma;sans-serif"/>
          <w:b w:val="false"/>
          <w:color w:val="000000"/>
          <w:sz w:val="20"/>
        </w:rPr>
        <w:t xml:space="preserve">Our sales team seeks to generate additional revenue from existing customers by adding new users or application licenses. In addition, we encourage our customers to upgrade to higher service tiers in order to take advantage of incremental functionality. We offer three service tiers ranging from a standard package with entry level features to our premium offering that includes access to features such as process mining and full AI integration. Many of our customers begin by building a single application and then grow to build dozens of applications on our platform. Generally, the development of new applications on our platform results in the expansion of our user base within an organization and a corresponding increase in revenue. As a result of this “land and expand” strategy, we have generated significant additional revenue from our customer base. Our ability to increase sales to existing customers will depend on a number of factors, including the size of our sales and professional services teams, customers’ level of satisfaction with our platform and professional services, pricing, economic conditions, and our customers’ overall spending levels. </w:t>
      </w:r>
    </w:p>
    <w:p>
      <w:pPr>
        <w:pStyle w:val="TextBody"/>
        <w:bidi w:val="0"/>
        <w:spacing w:lineRule="auto" w:line="288" w:before="120" w:after="283"/>
        <w:ind w:left="0" w:right="0" w:hanging="360"/>
        <w:jc w:val="left"/>
        <w:rPr/>
      </w:pPr>
      <w:r>
        <w:rPr>
          <w:color w:val="000000"/>
        </w:rPr>
        <w:t>•</w:t>
      </w:r>
      <w:r>
        <w:rPr>
          <w:rFonts w:ascii="Tahoma;sans-serif" w:hAnsi="Tahoma;sans-serif"/>
          <w:b/>
          <w:i/>
          <w:color w:val="000000"/>
          <w:sz w:val="20"/>
        </w:rPr>
        <w:t>Investments in Growth -</w:t>
      </w:r>
      <w:r>
        <w:rPr>
          <w:color w:val="000000"/>
        </w:rPr>
        <w:t xml:space="preserve"> </w:t>
      </w:r>
      <w:r>
        <w:rPr>
          <w:rFonts w:ascii="Tahoma;sans-serif" w:hAnsi="Tahoma;sans-serif"/>
          <w:b w:val="false"/>
          <w:color w:val="000000"/>
          <w:sz w:val="20"/>
        </w:rPr>
        <w:t xml:space="preserve">We have made, and plan to continue to make, investments for long-term growth, including investing in our platform and infrastructure to continuously maximize their power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53670"/>
                <wp:effectExtent l="0" t="0" r="0" b="0"/>
                <wp:wrapNone/>
                <wp:docPr id="49" name="Frame4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ahoma;sans-serif" w:hAnsi="Tahoma;sans-serif"/>
          <w:b w:val="false"/>
          <w:color w:val="000000"/>
          <w:sz w:val="20"/>
        </w:rPr>
      </w:pPr>
      <w:r>
        <w:rPr>
          <w:rFonts w:ascii="Tahoma;sans-serif" w:hAnsi="Tahoma;sans-serif"/>
          <w:b w:val="false"/>
          <w:color w:val="000000"/>
          <w:sz w:val="20"/>
        </w:rPr>
        <w:t xml:space="preserve">speed, meet the evolving needs of our customers, and take advantage of our market opportunity. In addition, we may pursue strategic acquisitions that enhance our product offerings. We also intend to continue to invest in sales and marketing as we further expand our sales teams, increase our marketing activities, and grow our international operations. </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Seasonality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historically experienced seasonality in terms of when we enter into agreements with customers. We typically enter into a significantly higher percentage of agreements with new customers, as well as renewal agreements with existing customers, in the fourth quarter. The increase in customer agreements for the fourth quarter is attributable to large enterprise account-buying patterns typical in the software industry. Furthermore, we usually enter into a significant portion of agreements with customers during the last month of each quarter and often the last two weeks of each quarter. However, we recognize the majority of our subscriptions revenue ratably over the terms of our subscription agreements. As a result, a substantial portion of the subscriptions revenue we report in each period will be derived from the recognition of deferred revenue relating to agreements entered into during previous periods. Consequently, an increase or decline in new sales or renewals in any one period may not be immediately reflected in our revenue results for that period. Such changes, however, will affect our revenue in future periods. Accordingly, the effect of significant downturns in sales, the market acceptance of our platform, or potential changes in our rate of renewals may not be fully reflected in our results of operations until future periods.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While we will continue to recognize the majority of our subscriptions revenue ratably over the terms of our subscription agreements, we may experience greater variability and reduced comparability of our quarterly revenue and results with respect to the timing and nature of our license subscription agreements due to the upfront revenue recognition. See Note 3 to the consolidated financial statements for further details on our revenue recognition policies.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Metrics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monitor the following metrics to help us measure and evaluate the effectiveness of our operations. All dollar amounts are presented in thousands.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Cloud Subscriptions Revenue</w:t>
      </w:r>
    </w:p>
    <w:p>
      <w:pPr>
        <w:pStyle w:val="TextBody"/>
        <w:bidi w:val="0"/>
        <w:spacing w:before="0" w:after="0"/>
        <w:ind w:left="0" w:right="0" w:firstLine="360"/>
        <w:jc w:val="left"/>
        <w:rPr/>
      </w:pPr>
      <w:r>
        <w:rPr/>
      </w:r>
    </w:p>
    <w:tbl>
      <w:tblPr>
        <w:tblW w:w="6612" w:type="dxa"/>
        <w:jc w:val="left"/>
        <w:tblInd w:w="0" w:type="dxa"/>
        <w:tblLayout w:type="fixed"/>
        <w:tblCellMar>
          <w:top w:w="28" w:type="dxa"/>
          <w:left w:w="28" w:type="dxa"/>
          <w:bottom w:w="28" w:type="dxa"/>
          <w:right w:w="28" w:type="dxa"/>
        </w:tblCellMar>
      </w:tblPr>
      <w:tblGrid>
        <w:gridCol w:w="863"/>
        <w:gridCol w:w="760"/>
        <w:gridCol w:w="762"/>
        <w:gridCol w:w="211"/>
        <w:gridCol w:w="856"/>
        <w:gridCol w:w="109"/>
        <w:gridCol w:w="109"/>
        <w:gridCol w:w="109"/>
        <w:gridCol w:w="109"/>
        <w:gridCol w:w="211"/>
        <w:gridCol w:w="856"/>
        <w:gridCol w:w="109"/>
        <w:gridCol w:w="109"/>
        <w:gridCol w:w="109"/>
        <w:gridCol w:w="109"/>
        <w:gridCol w:w="211"/>
        <w:gridCol w:w="85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Cloud subscriptions revenue</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437,361 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368,030 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304,481 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Cloud subscriptions revenue includes cloud subscriptions bundled with maintenance and support and hosting services. In 2025, 2024, and 2023, 75.9%, 75.0%, and 73.8%, respectively, of subscriptions revenue was cloud subscriptions revenue. Our cloud subscriptions revenue for any customer is primarily determined by the number of users who access and utilize the applications built on our platform or by the number of application licenses purchased, as well as the price paid. We believe increasing cloud subscriptions revenue is an indicator of the demand for our platform, the pace at which the market for our solutions is growing, the productivity of our sales team and strategic relationships in growing our customer base, and our ability to further penetrate our existing customer base.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Cloud Net Annualized Recurring Revenue (“ARR”) Expansion</w:t>
      </w:r>
    </w:p>
    <w:p>
      <w:pPr>
        <w:pStyle w:val="TextBody"/>
        <w:bidi w:val="0"/>
        <w:spacing w:before="0" w:after="0"/>
        <w:ind w:left="0" w:right="0" w:firstLine="360"/>
        <w:jc w:val="left"/>
        <w:rPr/>
      </w:pPr>
      <w:r>
        <w:rPr/>
      </w:r>
    </w:p>
    <w:tbl>
      <w:tblPr>
        <w:tblW w:w="5192" w:type="dxa"/>
        <w:jc w:val="left"/>
        <w:tblInd w:w="0" w:type="dxa"/>
        <w:tblLayout w:type="fixed"/>
        <w:tblCellMar>
          <w:top w:w="28" w:type="dxa"/>
          <w:left w:w="28" w:type="dxa"/>
          <w:bottom w:w="28" w:type="dxa"/>
          <w:right w:w="28" w:type="dxa"/>
        </w:tblCellMar>
      </w:tblPr>
      <w:tblGrid>
        <w:gridCol w:w="776"/>
        <w:gridCol w:w="682"/>
        <w:gridCol w:w="686"/>
        <w:gridCol w:w="240"/>
        <w:gridCol w:w="241"/>
        <w:gridCol w:w="300"/>
        <w:gridCol w:w="110"/>
        <w:gridCol w:w="110"/>
        <w:gridCol w:w="110"/>
        <w:gridCol w:w="240"/>
        <w:gridCol w:w="241"/>
        <w:gridCol w:w="300"/>
        <w:gridCol w:w="110"/>
        <w:gridCol w:w="110"/>
        <w:gridCol w:w="110"/>
        <w:gridCol w:w="240"/>
        <w:gridCol w:w="241"/>
        <w:gridCol w:w="345"/>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144"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Cloud net ARR expansion</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116 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53670"/>
                <wp:effectExtent l="0" t="0" r="0" b="0"/>
                <wp:wrapNone/>
                <wp:docPr id="50" name="Frame4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Commencing in 2025, we are replacing our previously reported cloud subscriptions revenue retention rate with a new key metric called cloud net ARR expansion. We believe cloud net ARR expansion provides better real-time insight into the growth of our existing customer base and is more indicative of our success in the renewal and expansion of cloud subscription agreements with existing customers.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To calculate this metric, we define ARR on a customer level as monthly recurring cloud subscriptions revenue multiplied by 12. We then compare the period-end ARR of the previous year’s customer cohort to their ARR at the end of the current period. The cloud net ARR expansion represents the ratio between these two periods. Note for purposes of the calculation, a customer is defined pursuant to our updated methodology, and the calculation is performed on a constant currency basis.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Key Components of 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revenue primarily through sales of subscriptions to our platform as well as professional services. We typically sell our software on a per-user basis or through non-user-based single application licenses. We generally bill customers and collect payment for subscriptions to our platform in advance on an annual, quarterly, or monthly basis. In certain instances, we have had customers pay their entire contract value up front.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revenue is comprised of the following: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revenue is primarily derived from cloud subscriptions bundled with maintenance and support and hosting services, license subscriptions, and maintenance and support for license subscriptions. Our maintenance and support agreements provide customers with the right to unspecified software upgrades, maintenance releases and patches released during the term of the maintenance and support agreement on a when-and-if-available basis, and rights to technical support. License subscriptions are offered when the customer prefers to self-manage the deployment of our platform within their own infrastructure. When our platform is delivered as a cloud subscription, we manage operational needs in third-party hosted data centers.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professional services revenue is comprised of fees for consulting services, including application development, deployment assistance, and training related to our platform.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Subscriptions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Cost of subscriptions revenue consists primarily of fees paid to our third-party managed hosting providers and other third-party service providers, personnel costs, including payroll and benefits for our technology operations, customer support and information security teams, amortization of acquired technology, and allocated overhead costs. We expect cost of revenue to continue to increase in absolute dollars for the foreseeable future as our customer base grows.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Cost of professional services revenue includes all direct and indirect costs to deliver our professional services and training, including employee compensation for our global professional services and training personnel, third-party contractor costs, allocated overhead costs, and the costs of billable expenses such as travel and lodging. The unpredictability of the timing of providing services related to significant professional services agreements sold on a standalone basis may cause significant fluctuations in our cost of professional services which, in turn, may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53670"/>
                <wp:effectExtent l="0" t="0" r="0" b="0"/>
                <wp:wrapNone/>
                <wp:docPr id="51" name="Frame4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Gross Profit and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Gross profit and gross margin (defined as gross profit as a percentage of total revenue), have been, and will continue to be, affected by various factors, including the mix of cloud subscriptions and license subscriptions, the mix of total subscriptions revenue and professional services revenue, subscription pricing, the costs associated with third-party hosting providers, and the extent to which we expand or reduce our professional services to support future changes in our growth. Our gross margin may fluctuate from period to period based on the aforementioned factors.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Subscriptions Gross Margin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Subscriptions gross margin is primarily affected by the growth in our subscriptions revenue as compared to the growth in, and timing of, costs to support such revenue. We expect to continue to invest in customer support and cloud operations to support growth in our business, and the timing of those investments is expected to cause subscriptions gross margin to fluctuate on a quarterly basis.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Professional Services Gross Margin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Professional services gross margin is affected by the growth in our professional services revenue as compared to the growth in, and timing of, the costs of our professional services organization as we continue to invest in the growth of our business as well as by consultant utilization rates. Professional services gross margin is also impacted by the amount of services performed by subcontractors and partners as opposed to internal resources. The professional services margins are subject to fluctuation based on the factors discussed 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Operating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Operating expenses consist of sales and marketing, research and development, and general and administrative expenses. Personnel-related costs such as salaries, bonuses, commissions, payroll tax payments, and stock-based compensation expense are the most significant components of each of these expense categories. Other components of each category include professional fees for third-party services such as legal, software development resources, contractors, and cloud computing services. In addition, operating expenses include allocated overhead costs, which are primarily comprised of facility costs such as rent, employee medical benefits, employee relations expense, and information technology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general, our operating expenses are expected to continue to increase in absolute dollars as we invest resources in enhancing our product and growing our business, although such growth is expected to be at a more measured rate than prior years.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Sales and Marketing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Sales and marketing expense primarily includes personnel costs, including salaries, bonuses, commissions, stock-based compensation, and other personnel costs related to sales teams. Additional major expenses in this category include travel and entertainment, marketing activities and promotional events, subcontracting fees, and allocated overhead costs. We are focused on increasing the efficiency of our sales force and marketing activities by enhancing account targeting, messaging, field sales operations, and sales training in order to accelerate the adoption of our platform.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expect sales and marketing expense to increase in absolute dollars as we continue to invest in acquiring new customers, further expand usage of our platform within our existing customer base, and broaden our efforts to build on our brand reputation as well as increase market awareness of our platform.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Research and Development Expense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53670"/>
                <wp:effectExtent l="0" t="0" r="0" b="0"/>
                <wp:wrapNone/>
                <wp:docPr id="52" name="Frame5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Research and development expense consists primarily of personnel costs for our employees who develop and enhance our platform, including salaries, bonuses, stock-based compensation, and other personnel costs. Also included are non-personnel costs such as subcontracting, consulting, professional fees to third party development resources, cloud computing and software expenses, and allocated overhead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research and development efforts are focused on enhancing the capabilities, speed, and power of our software platform. In 2022, we opened a new product development center in India. Although we expect research and development expense to continue to increase in absolute dollars, as such costs are critical to maintain and improve the quality of applications and our competitive position, we believe our product development center will result in cost savings over time.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General and Administrative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General and administrative expense consists primarily of personnel costs, including salaries, bonuses, stock-based compensation, and other personnel costs for our administrative, legal, human resources, finance, and accounting teams as well as our senior executives. Additional expenses included in this category are non-personnel costs such as travel-related expenses, information security costs related to the protection of our internal systems, contracting and professional fees for such services as audits, taxation, and legal, insurance and other corporate expenses, including allocated overhead costs, and bad debt expenses.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Non-Operating (Income)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Other (Income) Expense,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(income) expense, net, consists primarily of gains and losses related to changes in foreign currency exchange rates, interest income on our cash and cash equivalents and investments, and other sources of income or expense not related to our core business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Interest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Interest expense consists primarily of interest on our debt, amortization of deferred financing fees, unused credit facility fees, and commitment fees on our letters of credit.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53670"/>
                <wp:effectExtent l="0" t="0" r="0" b="0"/>
                <wp:wrapNone/>
                <wp:docPr id="53" name="Frame5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Results of Operations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consolidated statements of operations (in thousands):</w:t>
      </w:r>
    </w:p>
    <w:p>
      <w:pPr>
        <w:pStyle w:val="TextBody"/>
        <w:bidi w:val="0"/>
        <w:spacing w:before="0" w:after="0"/>
        <w:ind w:left="0" w:right="0" w:firstLine="360"/>
        <w:jc w:val="left"/>
        <w:rPr/>
      </w:pPr>
      <w:r>
        <w:rPr/>
      </w:r>
    </w:p>
    <w:tbl>
      <w:tblPr>
        <w:tblW w:w="8021" w:type="dxa"/>
        <w:jc w:val="center"/>
        <w:tblInd w:w="0" w:type="dxa"/>
        <w:tblLayout w:type="fixed"/>
        <w:tblCellMar>
          <w:top w:w="28" w:type="dxa"/>
          <w:left w:w="28" w:type="dxa"/>
          <w:bottom w:w="28" w:type="dxa"/>
          <w:right w:w="28" w:type="dxa"/>
        </w:tblCellMar>
      </w:tblPr>
      <w:tblGrid>
        <w:gridCol w:w="1340"/>
        <w:gridCol w:w="1174"/>
        <w:gridCol w:w="1190"/>
        <w:gridCol w:w="211"/>
        <w:gridCol w:w="856"/>
        <w:gridCol w:w="109"/>
        <w:gridCol w:w="109"/>
        <w:gridCol w:w="109"/>
        <w:gridCol w:w="109"/>
        <w:gridCol w:w="211"/>
        <w:gridCol w:w="856"/>
        <w:gridCol w:w="109"/>
        <w:gridCol w:w="109"/>
        <w:gridCol w:w="109"/>
        <w:gridCol w:w="109"/>
        <w:gridCol w:w="211"/>
        <w:gridCol w:w="94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xml:space="preserve">Year Ended December 31, </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576,462 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726,937 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Subscriptions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color w:val="000000"/>
                <w:sz w:val="18"/>
              </w:rPr>
              <w:t>Total cost of revenue</w:t>
            </w:r>
            <w:r>
              <w:rPr>
                <w:rFonts w:ascii="Tahoma;sans-serif" w:hAnsi="Tahoma;sans-serif"/>
                <w:b/>
                <w:color w:val="000000"/>
                <w:sz w:val="12"/>
              </w:rPr>
              <w:t>(1)</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168,240 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527,338 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385,021 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238,454 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249,968 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color w:val="000000"/>
                <w:sz w:val="18"/>
              </w:rPr>
              <w:t xml:space="preserve">Total operating expenses </w:t>
            </w:r>
            <w:r>
              <w:rPr>
                <w:rFonts w:ascii="Tahoma;sans-serif" w:hAnsi="Tahoma;sans-serif"/>
                <w:b/>
                <w:color w:val="000000"/>
                <w:sz w:val="12"/>
              </w:rPr>
              <w:t>(1)</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509,635 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492,994 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income (loss)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(107,973)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(income)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Income (loss) before income taxes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(91,208)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Certain prior period operating expenses have been reclassified to conform to the current period presentation. These changes have been reflected in the table above as well as within our results from operation discussion below. For further information, refer to Note 2 of our consolidated financial statements.</w:t>
      </w:r>
    </w:p>
    <w:p>
      <w:pPr>
        <w:pStyle w:val="TextBody"/>
        <w:bidi w:val="0"/>
        <w:spacing w:before="0" w:after="0"/>
        <w:ind w:left="0" w:right="0" w:firstLine="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53670"/>
                <wp:effectExtent l="0" t="0" r="0" b="0"/>
                <wp:wrapNone/>
                <wp:docPr id="54" name="Frame5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our consolidated statements of operations data expressed as a percentage of total revenue:</w:t>
      </w:r>
    </w:p>
    <w:p>
      <w:pPr>
        <w:pStyle w:val="TextBody"/>
        <w:bidi w:val="0"/>
        <w:spacing w:before="0" w:after="0"/>
        <w:ind w:left="0" w:right="0" w:firstLine="360"/>
        <w:jc w:val="left"/>
        <w:rPr/>
      </w:pPr>
      <w:r>
        <w:rPr/>
      </w:r>
    </w:p>
    <w:tbl>
      <w:tblPr>
        <w:tblW w:w="7248" w:type="dxa"/>
        <w:jc w:val="left"/>
        <w:tblInd w:w="0" w:type="dxa"/>
        <w:tblLayout w:type="fixed"/>
        <w:tblCellMar>
          <w:top w:w="28" w:type="dxa"/>
          <w:left w:w="28" w:type="dxa"/>
          <w:bottom w:w="28" w:type="dxa"/>
          <w:right w:w="28" w:type="dxa"/>
        </w:tblCellMar>
      </w:tblPr>
      <w:tblGrid>
        <w:gridCol w:w="1338"/>
        <w:gridCol w:w="1175"/>
        <w:gridCol w:w="1192"/>
        <w:gridCol w:w="322"/>
        <w:gridCol w:w="324"/>
        <w:gridCol w:w="300"/>
        <w:gridCol w:w="110"/>
        <w:gridCol w:w="110"/>
        <w:gridCol w:w="110"/>
        <w:gridCol w:w="322"/>
        <w:gridCol w:w="324"/>
        <w:gridCol w:w="300"/>
        <w:gridCol w:w="110"/>
        <w:gridCol w:w="110"/>
        <w:gridCol w:w="110"/>
        <w:gridCol w:w="322"/>
        <w:gridCol w:w="324"/>
        <w:gridCol w:w="345"/>
      </w:tblGrid>
      <w:tr>
        <w:trPr/>
        <w:tc>
          <w:tcPr>
            <w:tcW w:w="133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79.3 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79.5 </w:t>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75.6 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19.3 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Total cost of revenue*</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27.3 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29.4 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72.5 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70.6 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15.6 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Total operating expenses*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72.5 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82.6 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90.4 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income (loss)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(19.8)</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(income) expense</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(income) expense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(0.8)</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Income (loss) before income taxes*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(14.8)</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income (loss)</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(20.5)</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Totals may not foot due to rounding.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Year Ended December 31, 2025 Compared to the Year Ended December 31,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w:t>
      </w:r>
    </w:p>
    <w:p>
      <w:pPr>
        <w:pStyle w:val="TextBody"/>
        <w:bidi w:val="0"/>
        <w:spacing w:before="0" w:after="0"/>
        <w:ind w:left="0" w:right="0" w:firstLine="360"/>
        <w:jc w:val="left"/>
        <w:rPr/>
      </w:pPr>
      <w:r>
        <w:rPr/>
      </w:r>
    </w:p>
    <w:tbl>
      <w:tblPr>
        <w:tblW w:w="7255" w:type="dxa"/>
        <w:jc w:val="center"/>
        <w:tblInd w:w="0" w:type="dxa"/>
        <w:tblLayout w:type="fixed"/>
        <w:tblCellMar>
          <w:top w:w="28" w:type="dxa"/>
          <w:left w:w="28" w:type="dxa"/>
          <w:bottom w:w="28" w:type="dxa"/>
          <w:right w:w="28" w:type="dxa"/>
        </w:tblCellMar>
      </w:tblPr>
      <w:tblGrid>
        <w:gridCol w:w="634"/>
        <w:gridCol w:w="557"/>
        <w:gridCol w:w="564"/>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90"/>
        <w:gridCol w:w="290"/>
        <w:gridCol w:w="411"/>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17.5%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19.0%</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726,937 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17.8%</w:t>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Total revenue increased $109.9 million, or 17.8%, in 2025 compared to 2024 due to an increase in our subscriptions revenue of $85.9 million and a $24.0 million increase in our professional services revenue. The increase in subscriptions revenue was driven by a $69.3 million increase in cloud subscriptions revenue, a $13.7 million increase in license subscriptions revenue, and a $2.9 million increase in maintenance and support revenue. With respect to new versus existing customers, $77.0 million of the increase in subscriptions revenue was derived from expanded deployments and corresponding sales of additional subscriptions to existing customers while $8.9 million was driven from sales of subscriptions to new customers. The increase in professional services revenue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53670"/>
                <wp:effectExtent l="0" t="0" r="0" b="0"/>
                <wp:wrapNone/>
                <wp:docPr id="55" name="Frame5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due to a $12.9 million increase in revenue from existing customers and an $11.1 million increase in sales to new customers.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Cost of Revenue</w:t>
      </w:r>
    </w:p>
    <w:p>
      <w:pPr>
        <w:pStyle w:val="TextBody"/>
        <w:bidi w:val="0"/>
        <w:spacing w:before="0" w:after="0"/>
        <w:ind w:left="0" w:right="0" w:firstLine="360"/>
        <w:jc w:val="left"/>
        <w:rPr/>
      </w:pPr>
      <w:r>
        <w:rPr/>
      </w:r>
    </w:p>
    <w:tbl>
      <w:tblPr>
        <w:tblW w:w="8598" w:type="dxa"/>
        <w:jc w:val="center"/>
        <w:tblInd w:w="0" w:type="dxa"/>
        <w:tblLayout w:type="fixed"/>
        <w:tblCellMar>
          <w:top w:w="28" w:type="dxa"/>
          <w:left w:w="28" w:type="dxa"/>
          <w:bottom w:w="28" w:type="dxa"/>
          <w:right w:w="28" w:type="dxa"/>
        </w:tblCellMar>
      </w:tblPr>
      <w:tblGrid>
        <w:gridCol w:w="1032"/>
        <w:gridCol w:w="906"/>
        <w:gridCol w:w="911"/>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90"/>
        <w:gridCol w:w="290"/>
        <w:gridCol w:w="411"/>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83,988 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65,680 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27.9%</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115,611 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102,560 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12.7%</w:t>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199,599 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168,240 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18.6%</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Gross profit:</w:t>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492,474 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424,888 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34,864 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23,894 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Total gross profit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527,338 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448,782 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 gross margin</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86.6 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 gross margin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gross margin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Cost of revenue increased $31.4 million, or 18.6%, in 2025 compared to 2024, primarily due to a $13.0 million increase in hosting costs, an $8.3 million increase in contractor costs, and a $7.1 million increase in professional services and product support personnel costs. Hosting costs increased due to an increase in sales of our cloud offering during 2025. Contractor costs increased in 2025 compared to 2024 due to an increase in the usage of subcontractors for professional service engagements. Professional services and product support personnel costs increased due to an 11.5% increase in headcount and a $5.0 million increase in bonus expense from December 31, 2024 to December 31, 2025, both of which were partially offset by a $1.1 million decrease in severance costs.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Sales and Marketing Expense</w:t>
      </w:r>
    </w:p>
    <w:p>
      <w:pPr>
        <w:pStyle w:val="TextBody"/>
        <w:bidi w:val="0"/>
        <w:spacing w:before="0" w:after="0"/>
        <w:ind w:left="0" w:right="0" w:firstLine="360"/>
        <w:jc w:val="left"/>
        <w:rPr/>
      </w:pPr>
      <w:r>
        <w:rPr/>
      </w:r>
    </w:p>
    <w:tbl>
      <w:tblPr>
        <w:tblW w:w="7384" w:type="dxa"/>
        <w:jc w:val="center"/>
        <w:tblInd w:w="0" w:type="dxa"/>
        <w:tblLayout w:type="fixed"/>
        <w:tblCellMar>
          <w:top w:w="28" w:type="dxa"/>
          <w:left w:w="28" w:type="dxa"/>
          <w:bottom w:w="28" w:type="dxa"/>
          <w:right w:w="28" w:type="dxa"/>
        </w:tblCellMar>
      </w:tblPr>
      <w:tblGrid>
        <w:gridCol w:w="631"/>
        <w:gridCol w:w="553"/>
        <w:gridCol w:w="556"/>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90"/>
        <w:gridCol w:w="290"/>
        <w:gridCol w:w="411"/>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241,186 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238,454 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1.1%</w:t>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Sales and marketing expense increased $2.7 million, or 1.1%, in 2025 compared to 2024, primarily due to a $2.8 million increase in marketing costs, a $1.9 million increase in sales and marketing personnel costs, and a $1.7 million increase in travel and entertainment expenses. These increases were partially offset by a $1.7 million decrease in cloud computing costs. Marketing costs increased due to higher spending on marketing materials and advertising, both of which were partially offset by lower spending on marketing events. Although sales and marketing headcount was flat, personnel costs increased due to a $4.0 million increase in sales commissions and a $2.4 million increase in bonus expense. Travel and entertainment expenses increased due to increases in airfare and lodging associated with a higher number of in-person events and engagements relative to the prior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53670"/>
                <wp:effectExtent l="0" t="0" r="0" b="0"/>
                <wp:wrapNone/>
                <wp:docPr id="56" name="Frame5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Research and Development Expense</w:t>
      </w:r>
    </w:p>
    <w:p>
      <w:pPr>
        <w:pStyle w:val="TextBody"/>
        <w:bidi w:val="0"/>
        <w:spacing w:before="0" w:after="0"/>
        <w:ind w:left="0" w:right="0" w:firstLine="360"/>
        <w:jc w:val="left"/>
        <w:rPr/>
      </w:pPr>
      <w:r>
        <w:rPr/>
      </w:r>
    </w:p>
    <w:tbl>
      <w:tblPr>
        <w:tblW w:w="7924" w:type="dxa"/>
        <w:jc w:val="center"/>
        <w:tblInd w:w="0" w:type="dxa"/>
        <w:tblLayout w:type="fixed"/>
        <w:tblCellMar>
          <w:top w:w="28" w:type="dxa"/>
          <w:left w:w="28" w:type="dxa"/>
          <w:bottom w:w="28" w:type="dxa"/>
          <w:right w:w="28" w:type="dxa"/>
        </w:tblCellMar>
      </w:tblPr>
      <w:tblGrid>
        <w:gridCol w:w="826"/>
        <w:gridCol w:w="726"/>
        <w:gridCol w:w="728"/>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90"/>
        <w:gridCol w:w="290"/>
        <w:gridCol w:w="411"/>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172,188 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163,400 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5.4%</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Research and development expense increased $8.8 million, or 5.4%, in 2025 compared to 2024, primarily due to a $5.7 million increase in personnel costs and a $1.3 million increase in cloud computing costs. Although research and development headcount was relatively flat from December 31, 2024 to December 31, 2025, personnel costs increased due to a $4.8 million increase in bonus expense and a $0.3 million increase in stock compensation expense.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General and Administrative Expense</w:t>
      </w:r>
    </w:p>
    <w:p>
      <w:pPr>
        <w:pStyle w:val="TextBody"/>
        <w:bidi w:val="0"/>
        <w:spacing w:before="0" w:after="0"/>
        <w:ind w:left="0" w:right="0" w:firstLine="360"/>
        <w:jc w:val="left"/>
        <w:rPr/>
      </w:pPr>
      <w:r>
        <w:rPr/>
      </w:r>
    </w:p>
    <w:tbl>
      <w:tblPr>
        <w:tblW w:w="8598" w:type="dxa"/>
        <w:jc w:val="center"/>
        <w:tblInd w:w="0" w:type="dxa"/>
        <w:tblLayout w:type="fixed"/>
        <w:tblCellMar>
          <w:top w:w="28" w:type="dxa"/>
          <w:left w:w="28" w:type="dxa"/>
          <w:bottom w:w="28" w:type="dxa"/>
          <w:right w:w="28" w:type="dxa"/>
        </w:tblCellMar>
      </w:tblPr>
      <w:tblGrid>
        <w:gridCol w:w="1070"/>
        <w:gridCol w:w="941"/>
        <w:gridCol w:w="943"/>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90"/>
        <w:gridCol w:w="290"/>
        <w:gridCol w:w="411"/>
      </w:tblGrid>
      <w:tr>
        <w:trPr/>
        <w:tc>
          <w:tcPr>
            <w:tcW w:w="107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113,355 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107,781 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5.2%</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General and administrative expense increased $5.6 million, or 5.2%, in 2025 compared to 2024, primarily due to a $5.6 million increase in professional fees and a $5.0 million increase in general and administrative personnel costs. These increases were partially offset by a $3.7 million decrease in insurance expense and a $3.5 million decrease in rent expense. The increase in professional fees was the result of a net $5.8 million increase in legal fees associated with our litigation against Pegasystems. Personnel costs increased largely due to an 11.0% increase in general and administrative headcount from December 31, 2024 to December 31, 2025, a $1.8 million increase in bonus expense, and a $2.3 million increase in stock compensation expense. Insurance expense decreased due to a $3.3 million decline in amortization expense related to our judgment preservation insurance policy due to a change in the estimated amortization period. Rent expense decreased due to $5.5 million of lease impairment charges in 2024 as compared to $0.8 million of lease impairment charges in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(Income) Expense, Net</w:t>
      </w:r>
    </w:p>
    <w:p>
      <w:pPr>
        <w:pStyle w:val="TextBody"/>
        <w:bidi w:val="0"/>
        <w:spacing w:before="0" w:after="0"/>
        <w:ind w:left="0" w:right="0" w:firstLine="360"/>
        <w:jc w:val="left"/>
        <w:rPr/>
      </w:pPr>
      <w:r>
        <w:rPr/>
      </w:r>
    </w:p>
    <w:tbl>
      <w:tblPr>
        <w:tblW w:w="8044" w:type="dxa"/>
        <w:jc w:val="center"/>
        <w:tblInd w:w="0" w:type="dxa"/>
        <w:tblLayout w:type="fixed"/>
        <w:tblCellMar>
          <w:top w:w="28" w:type="dxa"/>
          <w:left w:w="28" w:type="dxa"/>
          <w:bottom w:w="28" w:type="dxa"/>
          <w:right w:w="28" w:type="dxa"/>
        </w:tblCellMar>
      </w:tblPr>
      <w:tblGrid>
        <w:gridCol w:w="880"/>
        <w:gridCol w:w="772"/>
        <w:gridCol w:w="778"/>
        <w:gridCol w:w="211"/>
        <w:gridCol w:w="841"/>
        <w:gridCol w:w="286"/>
        <w:gridCol w:w="109"/>
        <w:gridCol w:w="109"/>
        <w:gridCol w:w="109"/>
        <w:gridCol w:w="211"/>
        <w:gridCol w:w="646"/>
        <w:gridCol w:w="286"/>
        <w:gridCol w:w="109"/>
        <w:gridCol w:w="109"/>
        <w:gridCol w:w="109"/>
        <w:gridCol w:w="211"/>
        <w:gridCol w:w="841"/>
        <w:gridCol w:w="109"/>
        <w:gridCol w:w="109"/>
        <w:gridCol w:w="109"/>
        <w:gridCol w:w="109"/>
        <w:gridCol w:w="290"/>
        <w:gridCol w:w="290"/>
        <w:gridCol w:w="411"/>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(26,685)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Indicates a percentage change that is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Other income, net was $26.7 million in 2025 compared to other expense, net of $6.8 million in 2024. There were $19.8 million in foreign exchange gains in 2025 compared to $16.8 million in foreign exchange losses in 2024. This increase was partially offset by a $3.2 million decrease in other income related to a non-recurring local government incentive payment and short-swing profit disgorgement payments to us from a public stockholder of our Class A common stock that were both recognized in the prior year.</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53670"/>
                <wp:effectExtent l="0" t="0" r="0" b="0"/>
                <wp:wrapNone/>
                <wp:docPr id="57" name="Frame5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Interest Expense </w:t>
      </w:r>
    </w:p>
    <w:p>
      <w:pPr>
        <w:pStyle w:val="TextBody"/>
        <w:bidi w:val="0"/>
        <w:spacing w:before="0" w:after="0"/>
        <w:ind w:left="0" w:right="0" w:firstLine="360"/>
        <w:jc w:val="left"/>
        <w:rPr/>
      </w:pPr>
      <w:r>
        <w:rPr/>
      </w:r>
    </w:p>
    <w:tbl>
      <w:tblPr>
        <w:tblW w:w="6949" w:type="dxa"/>
        <w:jc w:val="center"/>
        <w:tblInd w:w="0" w:type="dxa"/>
        <w:tblLayout w:type="fixed"/>
        <w:tblCellMar>
          <w:top w:w="28" w:type="dxa"/>
          <w:left w:w="28" w:type="dxa"/>
          <w:bottom w:w="28" w:type="dxa"/>
          <w:right w:w="28" w:type="dxa"/>
        </w:tblCellMar>
      </w:tblPr>
      <w:tblGrid>
        <w:gridCol w:w="515"/>
        <w:gridCol w:w="454"/>
        <w:gridCol w:w="456"/>
        <w:gridCol w:w="211"/>
        <w:gridCol w:w="751"/>
        <w:gridCol w:w="286"/>
        <w:gridCol w:w="109"/>
        <w:gridCol w:w="109"/>
        <w:gridCol w:w="109"/>
        <w:gridCol w:w="211"/>
        <w:gridCol w:w="751"/>
        <w:gridCol w:w="286"/>
        <w:gridCol w:w="109"/>
        <w:gridCol w:w="109"/>
        <w:gridCol w:w="109"/>
        <w:gridCol w:w="211"/>
        <w:gridCol w:w="736"/>
        <w:gridCol w:w="109"/>
        <w:gridCol w:w="109"/>
        <w:gridCol w:w="109"/>
        <w:gridCol w:w="109"/>
        <w:gridCol w:w="290"/>
        <w:gridCol w:w="290"/>
        <w:gridCol w:w="411"/>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(11.6)%</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Interest expense decreased $2.7 million in 2025 as compared to the corresponding period in 2024, primarily due to a lower effective interest rate and lower outstanding principal compared to the prior year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Income Tax Expense</w:t>
      </w:r>
    </w:p>
    <w:p>
      <w:pPr>
        <w:pStyle w:val="TextBody"/>
        <w:bidi w:val="0"/>
        <w:spacing w:before="0" w:after="0"/>
        <w:ind w:left="0" w:right="0" w:firstLine="360"/>
        <w:jc w:val="left"/>
        <w:rPr/>
      </w:pPr>
      <w:r>
        <w:rPr/>
      </w:r>
    </w:p>
    <w:tbl>
      <w:tblPr>
        <w:tblW w:w="6949" w:type="dxa"/>
        <w:jc w:val="left"/>
        <w:tblInd w:w="0" w:type="dxa"/>
        <w:tblLayout w:type="fixed"/>
        <w:tblCellMar>
          <w:top w:w="28" w:type="dxa"/>
          <w:left w:w="28" w:type="dxa"/>
          <w:bottom w:w="28" w:type="dxa"/>
          <w:right w:w="28" w:type="dxa"/>
        </w:tblCellMar>
      </w:tblPr>
      <w:tblGrid>
        <w:gridCol w:w="624"/>
        <w:gridCol w:w="549"/>
        <w:gridCol w:w="552"/>
        <w:gridCol w:w="211"/>
        <w:gridCol w:w="646"/>
        <w:gridCol w:w="286"/>
        <w:gridCol w:w="109"/>
        <w:gridCol w:w="109"/>
        <w:gridCol w:w="109"/>
        <w:gridCol w:w="211"/>
        <w:gridCol w:w="646"/>
        <w:gridCol w:w="286"/>
        <w:gridCol w:w="109"/>
        <w:gridCol w:w="109"/>
        <w:gridCol w:w="109"/>
        <w:gridCol w:w="211"/>
        <w:gridCol w:w="646"/>
        <w:gridCol w:w="109"/>
        <w:gridCol w:w="109"/>
        <w:gridCol w:w="109"/>
        <w:gridCol w:w="109"/>
        <w:gridCol w:w="290"/>
        <w:gridCol w:w="290"/>
        <w:gridCol w:w="411"/>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w:t>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of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Income tax expense increased by $4.2 million in 2025 as compared to the corresponding period in 2024. This change was primarily driven by increased pre-tax book income in certain international subsidiaries in 2025. The change in pre-tax book income was primarily attributable to increases in unrealized foreign exchange gains.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Year Ended December 31, 2024 Compared to the Year Ended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a discussion and analysis of changes in financial condition and results of operations for the year ended December 31, 2024 as compared to the year ended December 31, 2023, refer to our Annual Report on Form 10-K for the fiscal year ended December 31, 2024, filed with the SEC on February 19, 2025. </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Backlog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Backlog represents non-cancellable future amounts to be recognized under cloud and license subscription agreements and is representative of our remaining performance obligations. As of December 31, 2025 and 2024, we had backlog of $661.8 million and $546.0 million, respectively. Approximately 33% of our backlog as of December 31, 2025 is not expected to be recognized in 2026. Additionally, we expect backlog to continue to increase in absolute dollars as we continue to increase the number of cloud agreements we enter into. However, the amount of backlog relative to the total value of our contracts can change from quarter to quarter and year to year for several reasons, including the specific timing and duration of cloud and license subscription agreements with large customers, the specific timing of customer renewals, changes in customer financial circumstances, and foreign currency fluctuations. Additionally, we often sign multiple-year subscription agreements, and backlog may vary based on changes in the average non-cancellable term of our cloud and license subscription agreements.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Non-GAAP Financial Measures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To supplement our consolidated financial statements, which are prepared and presented in accordance with GAAP, we provide investors with certain non-GAAP financial performance measures. We use these non-GAAP financial performance measures for financial and operational decision-making and as a means to evaluate period-to-period comparisons. Management believes these non-GAAP financial measures provide meaningful supplemental information regarding our performance by excluding certain expenses that may not be indicative of our recurring core business operating results. We believe both management and investors benefit from referring to these non-GAAP financial measures in assessing our performance and when planning, forecasting, and analyzing future periods. These non-GAAP financial measures also facilitate management’s internal comparisons to historical performance as well as comparisons to competitors’ operating results. We believe these non-GAAP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53670"/>
                <wp:effectExtent l="0" t="0" r="0" b="0"/>
                <wp:wrapNone/>
                <wp:docPr id="58" name="Frame5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measures are useful to investors both because (1) they allow for greater transparency with respect to measures used by management in its financial and operational decision-making and (2) they are used by institutional investors and the analyst community to help them analyze the health of our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non-GAAP financial performance measures include the following: non-GAAP subscriptions cost of revenue, non-GAAP professional services cost of revenue, non-GAAP total cost of revenue, non-GAAP total operating expense, non-GAAP operating income (loss), non-GAAP income tax expense, non-GAAP net income (loss), and non-GAAP net income (loss) per share, basic and diluted. These non-GAAP financial performance measures exclude the effect of stock-based compensation expense, unrealized foreign exchange rate gains and losses, certain non-ordinary litigation-related expenses consisting of legal and other professional fees associated with the Pegasystems cases (net of insurance reimbursements), or Litigation Expense, amortization of the judgment preservation insurance policy, or JPI Amortization, severance costs related to involuntary reductions in our workforce, or Severance Costs, lease impairments and lease-related charges associated with actions taken to reduce the footprint of our leased office spaces, or Lease Impairment and Lease-Related Charges, and a short-swing profit disgorgement paid to us by an investor, or Short-Swing Profit Payment. While some of these items may be recurring in nature and should not be disregarded in the evaluation of our earnings performance, it is useful to exclude such items when analyzing current results and trends compared to other periods as these items can vary significantly from period to period depending on specific underlying transactions or events that may occur. Therefore, while we may incur or recognize these types of expenses in the future, we believe removing these items for purposes of calculating our non-GAAP financial measures provides investors with a more focused presentation of our ongoing operating performance.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also discuss adjusted EBITDA, a non-GAAP financial performance measure we believe offers a useful view of the overall operation of our business. We define adjusted EBITDA as net income (loss) before (1) other (income) expense, net, (2) interest expense, (3) income tax expense, (4) depreciation expense and amortization of intangible assets, (5) stock-based compensation expense, (6) Litigation Expense, (7) JPI Amortization, (8) Severance Costs, and (9) Lease Impairment and Lease-Related Charges. The most directly comparable GAAP financial measure to adjusted EBITDA is net income (loss). Users should consider the limitations of using adjusted EBITDA, including the fact this measure does not provide a complete depiction of our operating performance. Adjusted EBITDA is not intended to purport to be an alternative to net income (loss) as a measure of operating performance or to cash flows from operating activities as a measure of liquidity.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presentation of these non-GAAP financial measures is not intended to be considered in isolation from, as a substitute for, or superior to the financial information prepared and presented in accordance with GAAP, and our non-GAAP measures may be different from non-GAAP measures used by other companies.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53670"/>
                <wp:effectExtent l="0" t="0" r="0" b="0"/>
                <wp:wrapNone/>
                <wp:docPr id="59" name="Frame5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tables reconcile our non-GAAP measures to their nearest comparable GAAP measures (in thousands, except per share data):</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458"/>
        <w:gridCol w:w="344"/>
        <w:gridCol w:w="346"/>
        <w:gridCol w:w="183"/>
        <w:gridCol w:w="578"/>
        <w:gridCol w:w="110"/>
        <w:gridCol w:w="109"/>
        <w:gridCol w:w="109"/>
        <w:gridCol w:w="109"/>
        <w:gridCol w:w="239"/>
        <w:gridCol w:w="655"/>
        <w:gridCol w:w="144"/>
        <w:gridCol w:w="109"/>
        <w:gridCol w:w="109"/>
        <w:gridCol w:w="109"/>
        <w:gridCol w:w="193"/>
        <w:gridCol w:w="450"/>
        <w:gridCol w:w="116"/>
        <w:gridCol w:w="109"/>
        <w:gridCol w:w="109"/>
        <w:gridCol w:w="109"/>
        <w:gridCol w:w="222"/>
        <w:gridCol w:w="519"/>
        <w:gridCol w:w="136"/>
        <w:gridCol w:w="109"/>
        <w:gridCol w:w="109"/>
        <w:gridCol w:w="109"/>
        <w:gridCol w:w="109"/>
        <w:gridCol w:w="109"/>
        <w:gridCol w:w="294"/>
        <w:gridCol w:w="687"/>
        <w:gridCol w:w="178"/>
        <w:gridCol w:w="109"/>
        <w:gridCol w:w="109"/>
        <w:gridCol w:w="109"/>
        <w:gridCol w:w="109"/>
        <w:gridCol w:w="109"/>
        <w:gridCol w:w="242"/>
        <w:gridCol w:w="607"/>
        <w:gridCol w:w="146"/>
        <w:gridCol w:w="109"/>
        <w:gridCol w:w="109"/>
        <w:gridCol w:w="109"/>
        <w:gridCol w:w="189"/>
        <w:gridCol w:w="597"/>
        <w:gridCol w:w="174"/>
      </w:tblGrid>
      <w:tr>
        <w:trPr/>
        <w:tc>
          <w:tcPr>
            <w:tcW w:w="45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Lease Impairment and Lease-Related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4"/>
              </w:rPr>
            </w:pPr>
            <w:r>
              <w:rPr>
                <w:rFonts w:ascii="Tahoma;sans-serif" w:hAnsi="Tahoma;sans-serif"/>
                <w:b/>
                <w:color w:val="000000"/>
                <w:sz w:val="14"/>
              </w:rPr>
              <w:t>Unrealized Foreign Exchange Rate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Non-GAAP Measure</w:t>
            </w:r>
          </w:p>
        </w:tc>
      </w:tr>
      <w:tr>
        <w:trPr/>
        <w:tc>
          <w:tcPr>
            <w:tcW w:w="7814" w:type="dxa"/>
            <w:gridSpan w:val="3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Year Ended December 31, 2025</w:t>
            </w:r>
          </w:p>
        </w:tc>
        <w:tc>
          <w:tcPr>
            <w:tcW w:w="2391" w:type="dxa"/>
            <w:gridSpan w:val="10"/>
            <w:tcBorders/>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83,988 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(1,810)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82,178 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115,611 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(5,787)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109,824 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199,599 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(7,597)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192,002 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241,186 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(8,434)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232,752 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172,188 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(12,407)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159,781 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113,355 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(13,102)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(10,407)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(12,508)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(2,032)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75,306 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526,729 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(33,943)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(10,407)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(12,508)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(2,032)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467,839 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Operating income</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41,540 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10,407 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12,508 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2,032 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67,096 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Non-operating (income) expense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(5,835)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21,939 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16,104 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5,211 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5,405 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Net income (loss)</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40,232 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10,407 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12,508 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45,587 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Net income (loss) per share, basic</w:t>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0.62 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4"/>
              </w:rPr>
              <w:t>Net income (loss) per share, diluted</w:t>
            </w:r>
            <w:r>
              <w:rPr>
                <w:rFonts w:ascii="Ubuntu;sans-serif" w:hAnsi="Ubuntu;sans-serif"/>
                <w:b w:val="false"/>
                <w:color w:val="515159"/>
                <w:sz w:val="12"/>
              </w:rPr>
              <w:t>(a),(b)</w:t>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Ubuntu;sans-serif" w:hAnsi="Ubuntu;sans-serif"/>
          <w:b w:val="false"/>
          <w:color w:val="515159"/>
          <w:sz w:val="12"/>
        </w:rPr>
        <w:t>(a)</w:t>
      </w:r>
      <w:r>
        <w:rPr>
          <w:color w:val="000000"/>
        </w:rPr>
        <w:t xml:space="preserve"> </w:t>
      </w:r>
      <w:r>
        <w:rPr>
          <w:rFonts w:ascii="Tahoma;sans-serif" w:hAnsi="Tahoma;sans-serif"/>
          <w:b w:val="false"/>
          <w:color w:val="000000"/>
          <w:sz w:val="14"/>
        </w:rPr>
        <w:t>Accounts for the impact of 0.6 million shares of dilutive securities.</w:t>
      </w:r>
    </w:p>
    <w:p>
      <w:pPr>
        <w:pStyle w:val="TextBody"/>
        <w:bidi w:val="0"/>
        <w:spacing w:lineRule="auto" w:line="288" w:before="0" w:after="0"/>
        <w:jc w:val="left"/>
        <w:rPr/>
      </w:pPr>
      <w:r>
        <w:rPr>
          <w:rFonts w:ascii="Ubuntu;sans-serif" w:hAnsi="Ubuntu;sans-serif"/>
          <w:b w:val="false"/>
          <w:color w:val="515159"/>
          <w:sz w:val="12"/>
        </w:rPr>
        <w:t xml:space="preserve">(b) </w:t>
      </w:r>
      <w:r>
        <w:rPr>
          <w:rFonts w:ascii="Tahoma;sans-serif" w:hAnsi="Tahoma;sans-serif"/>
          <w:b w:val="false"/>
          <w:color w:val="000000"/>
          <w:sz w:val="14"/>
        </w:rPr>
        <w:t>Per share amounts do not foot due to rounding.</w:t>
      </w:r>
    </w:p>
    <w:p>
      <w:pPr>
        <w:pStyle w:val="TextBody"/>
        <w:bidi w:val="0"/>
        <w:spacing w:before="0" w:after="0"/>
        <w:jc w:val="left"/>
        <w:rPr/>
      </w:pPr>
      <w:r>
        <w:rPr/>
      </w:r>
    </w:p>
    <w:tbl>
      <w:tblPr>
        <w:tblW w:w="11131" w:type="dxa"/>
        <w:jc w:val="left"/>
        <w:tblInd w:w="0" w:type="dxa"/>
        <w:tblLayout w:type="fixed"/>
        <w:tblCellMar>
          <w:top w:w="28" w:type="dxa"/>
          <w:left w:w="28" w:type="dxa"/>
          <w:bottom w:w="28" w:type="dxa"/>
          <w:right w:w="28" w:type="dxa"/>
        </w:tblCellMar>
      </w:tblPr>
      <w:tblGrid>
        <w:gridCol w:w="401"/>
        <w:gridCol w:w="287"/>
        <w:gridCol w:w="288"/>
        <w:gridCol w:w="181"/>
        <w:gridCol w:w="571"/>
        <w:gridCol w:w="109"/>
        <w:gridCol w:w="109"/>
        <w:gridCol w:w="109"/>
        <w:gridCol w:w="109"/>
        <w:gridCol w:w="221"/>
        <w:gridCol w:w="606"/>
        <w:gridCol w:w="134"/>
        <w:gridCol w:w="109"/>
        <w:gridCol w:w="109"/>
        <w:gridCol w:w="109"/>
        <w:gridCol w:w="181"/>
        <w:gridCol w:w="421"/>
        <w:gridCol w:w="109"/>
        <w:gridCol w:w="109"/>
        <w:gridCol w:w="109"/>
        <w:gridCol w:w="109"/>
        <w:gridCol w:w="217"/>
        <w:gridCol w:w="506"/>
        <w:gridCol w:w="133"/>
        <w:gridCol w:w="109"/>
        <w:gridCol w:w="109"/>
        <w:gridCol w:w="109"/>
        <w:gridCol w:w="183"/>
        <w:gridCol w:w="426"/>
        <w:gridCol w:w="112"/>
        <w:gridCol w:w="109"/>
        <w:gridCol w:w="109"/>
        <w:gridCol w:w="109"/>
        <w:gridCol w:w="244"/>
        <w:gridCol w:w="569"/>
        <w:gridCol w:w="148"/>
        <w:gridCol w:w="109"/>
        <w:gridCol w:w="109"/>
        <w:gridCol w:w="109"/>
        <w:gridCol w:w="210"/>
        <w:gridCol w:w="489"/>
        <w:gridCol w:w="127"/>
        <w:gridCol w:w="109"/>
        <w:gridCol w:w="109"/>
        <w:gridCol w:w="109"/>
        <w:gridCol w:w="187"/>
        <w:gridCol w:w="435"/>
        <w:gridCol w:w="114"/>
        <w:gridCol w:w="109"/>
        <w:gridCol w:w="109"/>
        <w:gridCol w:w="109"/>
        <w:gridCol w:w="181"/>
        <w:gridCol w:w="571"/>
        <w:gridCol w:w="154"/>
      </w:tblGrid>
      <w:tr>
        <w:trPr/>
        <w:tc>
          <w:tcPr>
            <w:tcW w:w="4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Severance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Lease Impairment and Lease-Related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Short-Swing Profit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4"/>
              </w:rPr>
            </w:pPr>
            <w:r>
              <w:rPr>
                <w:rFonts w:ascii="Tahoma;sans-serif" w:hAnsi="Tahoma;sans-serif"/>
                <w:b/>
                <w:color w:val="000000"/>
                <w:sz w:val="14"/>
              </w:rPr>
              <w:t>Unrealized Foreign Exchange Rate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Non-GAAP Measure</w:t>
            </w:r>
          </w:p>
        </w:tc>
      </w:tr>
      <w:tr>
        <w:trPr/>
        <w:tc>
          <w:tcPr>
            <w:tcW w:w="11131" w:type="dxa"/>
            <w:gridSpan w:val="5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Year Ended December 31, 2024</w:t>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64,042 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(5,925)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(1,398)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95,237 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(7,563)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(1,398)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159,279 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(8,526)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(3,937)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225,991 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(12,077)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151,318 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(10,879)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(15,795)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(6,104)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70,207 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509,635 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(31,482)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(15,795)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(6,104)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447,516 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39,045 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15,795 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5,534 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Non-operating expense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30,355 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(16,697)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(92,262)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37,546 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15,795 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4,438 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(1,799)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16,218 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(9,358)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 per share, basic and diluted</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53670"/>
                <wp:effectExtent l="0" t="0" r="0" b="0"/>
                <wp:wrapNone/>
                <wp:docPr id="60" name="Frame5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5"/>
        <w:gridCol w:w="429"/>
        <w:gridCol w:w="430"/>
        <w:gridCol w:w="186"/>
        <w:gridCol w:w="588"/>
        <w:gridCol w:w="112"/>
        <w:gridCol w:w="109"/>
        <w:gridCol w:w="109"/>
        <w:gridCol w:w="109"/>
        <w:gridCol w:w="260"/>
        <w:gridCol w:w="713"/>
        <w:gridCol w:w="157"/>
        <w:gridCol w:w="109"/>
        <w:gridCol w:w="109"/>
        <w:gridCol w:w="109"/>
        <w:gridCol w:w="203"/>
        <w:gridCol w:w="490"/>
        <w:gridCol w:w="122"/>
        <w:gridCol w:w="109"/>
        <w:gridCol w:w="109"/>
        <w:gridCol w:w="109"/>
        <w:gridCol w:w="229"/>
        <w:gridCol w:w="535"/>
        <w:gridCol w:w="140"/>
        <w:gridCol w:w="109"/>
        <w:gridCol w:w="109"/>
        <w:gridCol w:w="109"/>
        <w:gridCol w:w="203"/>
        <w:gridCol w:w="473"/>
        <w:gridCol w:w="124"/>
        <w:gridCol w:w="109"/>
        <w:gridCol w:w="109"/>
        <w:gridCol w:w="109"/>
        <w:gridCol w:w="314"/>
        <w:gridCol w:w="795"/>
        <w:gridCol w:w="189"/>
        <w:gridCol w:w="109"/>
        <w:gridCol w:w="109"/>
        <w:gridCol w:w="109"/>
        <w:gridCol w:w="198"/>
        <w:gridCol w:w="627"/>
        <w:gridCol w:w="181"/>
      </w:tblGrid>
      <w:tr>
        <w:trPr/>
        <w:tc>
          <w:tcPr>
            <w:tcW w:w="54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GAAP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Litigation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JPI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Severance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4"/>
              </w:rPr>
            </w:pPr>
            <w:r>
              <w:rPr>
                <w:rFonts w:ascii="Tahoma;sans-serif" w:hAnsi="Tahoma;sans-serif"/>
                <w:b/>
                <w:color w:val="000000"/>
                <w:sz w:val="14"/>
              </w:rPr>
              <w:t>Unrealized Foreign Exchange Rate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4"/>
              </w:rPr>
            </w:pPr>
            <w:r>
              <w:rPr>
                <w:rFonts w:ascii="Tahoma;sans-serif" w:hAnsi="Tahoma;sans-serif"/>
                <w:b/>
                <w:color w:val="000000"/>
                <w:sz w:val="14"/>
              </w:rPr>
              <w:t>Non-GAAP Measure</w:t>
            </w:r>
          </w:p>
        </w:tc>
      </w:tr>
      <w:tr>
        <w:trPr/>
        <w:tc>
          <w:tcPr>
            <w:tcW w:w="10205" w:type="dxa"/>
            <w:gridSpan w:val="4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4"/>
              </w:rPr>
            </w:pPr>
            <w:r>
              <w:rPr>
                <w:rFonts w:ascii="Tahoma;sans-serif" w:hAnsi="Tahoma;sans-serif"/>
                <w:b/>
                <w:color w:val="000000"/>
                <w:sz w:val="14"/>
              </w:rPr>
              <w:t>Year Ended December 31, 2023</w:t>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Subscriptions cost of revenue</w:t>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54,900 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53,180 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Professional services cost of revenue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105,442 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(6,354)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98,930 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cost of revenue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160,342 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(8,044)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(188)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152,110 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Sales and marketing expense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249,968 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(11,247)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(4,737)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233,984 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Research and development expense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160,420 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(12,864)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(1,022)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146,534 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General and administrative expense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82,606 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(11,232)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(6,038)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(352)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67,048 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Total operating expense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492,994 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(35,343)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(6,038)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447,566 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Operating (loss) income</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(107,973)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43,387 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6,038 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6,299 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(54,313)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Non-operating expense (income)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12,267 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12,526 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Income tax impact of above items</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3,209 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(812)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3,838 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Net (loss) income</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(111,441)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42,085 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(2,064)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6,038 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6,160 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(11,455)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(70,677)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4"/>
              </w:rPr>
            </w:pPr>
            <w:r>
              <w:rPr>
                <w:rFonts w:ascii="Tahoma;sans-serif" w:hAnsi="Tahoma;sans-serif"/>
                <w:b w:val="false"/>
                <w:color w:val="000000"/>
                <w:sz w:val="14"/>
              </w:rPr>
              <w:t>Net (loss) income per share, basic and diluted</w:t>
            </w:r>
          </w:p>
        </w:tc>
        <w:tc>
          <w:tcPr>
            <w:tcW w:w="1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(1.52)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0.08 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(0.16)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4"/>
              </w:rPr>
            </w:pPr>
            <w:r>
              <w:rPr>
                <w:rFonts w:ascii="Tahoma;sans-serif" w:hAnsi="Tahoma;sans-serif"/>
                <w:b w:val="false"/>
                <w:color w:val="000000"/>
                <w:sz w:val="14"/>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4"/>
              </w:rPr>
            </w:pPr>
            <w:r>
              <w:rPr>
                <w:rFonts w:ascii="Tahoma;sans-serif" w:hAnsi="Tahoma;sans-serif"/>
                <w:b w:val="false"/>
                <w:color w:val="000000"/>
                <w:sz w:val="14"/>
              </w:rPr>
              <w:t>(0.97)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reconciles GAAP net income (loss) to adjusted EBITDA for the years ended December 31, 2025, 2024, and 2023 (in thousands):</w:t>
      </w:r>
    </w:p>
    <w:p>
      <w:pPr>
        <w:pStyle w:val="TextBody"/>
        <w:bidi w:val="0"/>
        <w:spacing w:before="0" w:after="0"/>
        <w:ind w:left="0" w:right="0" w:firstLine="360"/>
        <w:jc w:val="left"/>
        <w:rPr/>
      </w:pPr>
      <w:r>
        <w:rPr/>
      </w:r>
    </w:p>
    <w:tbl>
      <w:tblPr>
        <w:tblW w:w="9042" w:type="dxa"/>
        <w:jc w:val="left"/>
        <w:tblInd w:w="0" w:type="dxa"/>
        <w:tblLayout w:type="fixed"/>
        <w:tblCellMar>
          <w:top w:w="28" w:type="dxa"/>
          <w:left w:w="28" w:type="dxa"/>
          <w:bottom w:w="28" w:type="dxa"/>
          <w:right w:w="28" w:type="dxa"/>
        </w:tblCellMar>
      </w:tblPr>
      <w:tblGrid>
        <w:gridCol w:w="1749"/>
        <w:gridCol w:w="1544"/>
        <w:gridCol w:w="1552"/>
        <w:gridCol w:w="211"/>
        <w:gridCol w:w="751"/>
        <w:gridCol w:w="109"/>
        <w:gridCol w:w="109"/>
        <w:gridCol w:w="109"/>
        <w:gridCol w:w="109"/>
        <w:gridCol w:w="211"/>
        <w:gridCol w:w="841"/>
        <w:gridCol w:w="109"/>
        <w:gridCol w:w="109"/>
        <w:gridCol w:w="109"/>
        <w:gridCol w:w="109"/>
        <w:gridCol w:w="211"/>
        <w:gridCol w:w="946"/>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GAAP 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Depreciation expense and amortization of intangible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Litigation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JPI Amortization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Severance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Lease Impairment and Lease-Related Charges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76,802 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Liquidity and Capital Resources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presents selected financial information and statistics pertaining to liquidity and capital resources as of December 31, 2025 and 2024 (in thousands):</w:t>
      </w:r>
    </w:p>
    <w:p>
      <w:pPr>
        <w:pStyle w:val="TextBody"/>
        <w:bidi w:val="0"/>
        <w:spacing w:before="0" w:after="0"/>
        <w:ind w:left="0" w:right="0" w:firstLine="360"/>
        <w:jc w:val="left"/>
        <w:rPr/>
      </w:pPr>
      <w:r>
        <w:rPr/>
      </w:r>
    </w:p>
    <w:tbl>
      <w:tblPr>
        <w:tblW w:w="6789" w:type="dxa"/>
        <w:jc w:val="center"/>
        <w:tblInd w:w="0" w:type="dxa"/>
        <w:tblLayout w:type="fixed"/>
        <w:tblCellMar>
          <w:top w:w="28" w:type="dxa"/>
          <w:left w:w="28" w:type="dxa"/>
          <w:bottom w:w="28" w:type="dxa"/>
          <w:right w:w="28" w:type="dxa"/>
        </w:tblCellMar>
      </w:tblPr>
      <w:tblGrid>
        <w:gridCol w:w="1474"/>
        <w:gridCol w:w="1294"/>
        <w:gridCol w:w="1297"/>
        <w:gridCol w:w="211"/>
        <w:gridCol w:w="856"/>
        <w:gridCol w:w="109"/>
        <w:gridCol w:w="109"/>
        <w:gridCol w:w="109"/>
        <w:gridCol w:w="109"/>
        <w:gridCol w:w="211"/>
        <w:gridCol w:w="856"/>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Short-term investments and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Working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53670"/>
                <wp:effectExtent l="0" t="0" r="0" b="0"/>
                <wp:wrapNone/>
                <wp:docPr id="61" name="Frame5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our existing cash and cash equivalents and short-term investments and marketable securities, together with any positive cash flows from operations and available borrowings under our revolving credit facility, will be sufficient to support working capital and capital expenditure requirements for at least the next twelve months.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Sources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historically financed our operations in large part with equity financing arrangements. Our last public offering was completed in June 2020. Through these public offerings, we received net proceeds of $344.8 million. </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To further help strengthen our financial position and support our growth initiatives, in November 2022 we entered into a Senior Secured Credit Facilities Credit Agreement, or the Credit Agreement, which, as amended to date, provides for a five-year term loan facility in an aggregate principal amount of $200.0 million and, in addition, up to $100.0 million for a revolving credit facility, including a letter of credit sub-facility in the aggregate availability amount of $20.0 million and a swingline sub-facility in the aggregate availability amount of $10.0 million (as a sublimit of the revolving loan facility).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Credit Agreement matures on November 3, 2027. We have been using the proceeds to fund the growth of our business and support our working capital requirements. We are currently in compliance with all covenants, had used borrowing capacity of $62.0 million under our $100.0 million revolving credit facility, and had outstanding letters of credit totaling $14.7 million in connection with securing our leased office space.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expect future sources of funds to consist primarily of cash generated from sales of subscriptions and the related professional services. We may also elect to raise additional sources of funding through entering into new debt financing arrangements or conducting additional public offerings. Our future capital requirements will depend on many factors, including our growth rate, the timing and extent of spending to support research and development efforts, the expansion of sales and marketing activities, particularly internationally, the introduction of new and enhanced products and functions as well as platform enhancements and professional services offerings, and the level of market acceptance of our product.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Uses of Funds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current principal uses of cash are funding operations and other working capital requirements. Historically, we have also utilized cash to pay for the acquisition of businesses that were complementary to ours, and we may pursue similar opportunities in the future. Over the past several years, revenue has increased significantly from year to year and, as a result, cash flows from customer collections have also grown. However, as we continue to invest in growing our business, operating expenses have also increased.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2023, we entered into a Judgment Preservation Insurance policy in connection with our $2.036 billion judgment against Pegasystems. See Note 13 to the consolidated financial statements for additional details. The total cost of the policy was $57.3 million, which we paid with cash on hand.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Over the past two years, we have also initiated several share repurchase programs as follows: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 xml:space="preserve">In February 2024, our Board of Directors authorized a share repurchase program, under which we repurchased approximately 1.3 million shares of our common stock for approximately $50.0 million during the first quarter of 2024.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 xml:space="preserve">In May 2025, our Board of Directors authorized a second program to repurchase up to $10.0 million of our common stock from May 2025 to December 2025. In the second quarter of 2025, we repurchased 0.3 million shares of our common stock for approximately $10.0 million.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In August 2025, our Board of Directors authorized a third program to repurchase up to $10.0 million of our common stock from August 2025 to August 2027. In the third quarter of 2025, we repurchased 0.3 million shares of our common stock for approximately $10.0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53670"/>
                <wp:effectExtent l="0" t="0" r="0" b="0"/>
                <wp:wrapNone/>
                <wp:docPr id="62" name="Frame6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ahoma;sans-serif" w:hAnsi="Tahoma;sans-serif"/>
          <w:b w:val="false"/>
          <w:color w:val="000000"/>
          <w:sz w:val="20"/>
        </w:rPr>
        <w:t xml:space="preserve">In February 2026, our Board of Directors authorized a program to repurchase up to $50.0 million of our common stock from February 2026 through February 2028.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Outside of the above items and cash used by operations, other uses of cash in 2025 to date have included capital expenditures related to the expansion of new leased facilities and principal repayments of our term loan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Furthermore, we have a non-cancellable cloud hosting arrangement with Amazon Web Services that contains provisions for minimum purchase commitments. Specifically, purchase commitments under the agreement total $220.0 million over five years. The agreement, which was originated in July 2021 and amended in October 2024, currently contains minimum annual spending requirements of $44.0 million from November 2024 to October 2029. Spending under this agreement for the years ended December 31, 2025, 2024, and 2023 totaled $53.3 million, $41.2 million, and $36.6 million, respectively. We expect to meet our minimum annual spending requirement during the term of the arrangement.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Historical Cash Flows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1648"/>
        <w:gridCol w:w="1423"/>
        <w:gridCol w:w="1427"/>
        <w:gridCol w:w="211"/>
        <w:gridCol w:w="856"/>
        <w:gridCol w:w="109"/>
        <w:gridCol w:w="109"/>
        <w:gridCol w:w="109"/>
        <w:gridCol w:w="109"/>
        <w:gridCol w:w="211"/>
        <w:gridCol w:w="856"/>
        <w:gridCol w:w="109"/>
        <w:gridCol w:w="109"/>
        <w:gridCol w:w="109"/>
        <w:gridCol w:w="109"/>
        <w:gridCol w:w="211"/>
        <w:gridCol w:w="832"/>
        <w:gridCol w:w="109"/>
        <w:gridCol w:w="109"/>
        <w:gridCol w:w="109"/>
        <w:gridCol w:w="109"/>
        <w:gridCol w:w="310"/>
        <w:gridCol w:w="310"/>
        <w:gridCol w:w="602"/>
      </w:tblGrid>
      <w:tr>
        <w:trPr/>
        <w:tc>
          <w:tcPr>
            <w:tcW w:w="164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 Change</w:t>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Beginning 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(20.6)</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Net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Stock-based compensation and other non-cash adjustments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(56.3)</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Changes in working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13.1</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Investing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Net cash used by investing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(63.8)</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Net cash used by financing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Effect of exchange rates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Net increase (decrease) in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Ending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14.6 </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Indicates a percentage that is not meaningful.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Operating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provided by operating activities was $62.9 million for 2025 as compared to $6.9 million for 2024. The increase in net cash provided by operating activities was primarily driven by increased cash collections stemming from strong contract bookings in fourth quarter of 2024 and throughout 2025, as well as our continuing cost management activities.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53670"/>
                <wp:effectExtent l="0" t="0" r="0" b="0"/>
                <wp:wrapNone/>
                <wp:docPr id="63" name="Frame6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Investing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used by investing activities was $12.8 million for 2025 as compared to $35.4 million in net cash used by investing activities for 2024. This change was primarily driven by an increase of $32.5 million in proceeds from the maturity of investments, partially offset by a $10.4 million increase in purchases of short-term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Financing Activities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Net cash used by financing activities was $36.3 million for 2025 as compared to $0.3 million in net cash used by financing activities for 2024. The increase in net cash used by financing activities was primarily due to a $50.0 million decrease in proceeds from borrowings and a $13.3 million decrease in proceeds received from the exercise of stock options which were partially offset by a $30.0 million decrease in repurchases of common stock, and a $3.8 million increase in debt repayments.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a discussion and analysis of net cash used by or provided by operating, investing, and financing activities for the year ended December 31, 2023, refer to our Annual Report on Form 10-K for the fiscal year ended December 31, 2024, filed with the SEC on February 19, 2025.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Critical Accounting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preparation of our consolidated financial statements in conformity with accounting principles generally accepted in the U.S. requires us to make estimates and judgments that affect the amounts reported in those financial statements and accompanying notes. Although we believe the estimates we use are reasonable, due to the inherent uncertainty involved in making those estimates, actual results reported in future periods could differ from those estimates.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believe the following accounting estimates embedded in our revenue recognition involve judgment and complexity. Accordingly, we believe the estimates included in our revenue recognition accounting are the most critical to aid in fully understanding and evaluating our consolidated financial condition and results of operations. This commentary should be read in conjunction with our consolidated financial statements and the remainder of this Form 10-K.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Revenue Recognition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subscriptions revenue primarily through the sale of cloud subscriptions bundled with maintenance and support and hosting services, license subscriptions, and maintenance and support for license subscriptions. We generate professional services revenue from fees for our consulting services, including application development and deployment assistance and training related to our platform. Significant judgments and estimates inherent in our revenue recognition are as follows: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Determining the Transaction Price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transaction price, or the amount of consideration we expect to be entitled to receive in exchange for transferring services to our customers, includes both fixed and variable components. The variable components of our contracts, which have been nominal to date, include performance penalties, extended payment terms or implied price concessions, and warranty refunds. Variable consideration is included in the transaction price to the extent it is probable a significant reversal will not occur and is subject to subsequent true-up adjustments, although such true-up adjustments are not expected to be 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Allocating the Transaction Price Based on Standalone Selling Prices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allocate the transaction price to each performance obligation in a contract based on its relative standalone selling price, or SSP. The SSP is the observable price at which we sell the product or service separately. In the absence of observable pricing, we estimate SSP using the residual approach. We establish SSP as follows: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53670"/>
                <wp:effectExtent l="0" t="0" r="0" b="0"/>
                <wp:wrapNone/>
                <wp:docPr id="64" name="Frame6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1.Cloud subscriptions - Given the highly variable selling price of our cloud subscriptions and the related maintenance and support, we establish the SSP of our cloud subscriptions using a residual approach after first determining the SSP of consulting and training services. </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2.License subscriptions - Given the highly variable selling price of our license subscriptions, we have established the SSP of license subscriptions using a residual approach after first determining the SSP of the related maintenance and support. Maintenance and support for license subscriptions is sold on a standalone basis with renewals of our legacy perpetual software licenses and within a narrow range of the net license fee, resulting in a defined economic relationship existing between the license and maintenance and support.</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3.Maintenance and support - We establish the SSP of maintenance and support for license subscriptions as a percentage of the stated net subscription fee based on observable pricing of maintenance and support renewals from our legacy perpetual software licenses. </w:t>
      </w:r>
    </w:p>
    <w:p>
      <w:pPr>
        <w:pStyle w:val="TextBody"/>
        <w:bidi w:val="0"/>
        <w:spacing w:lineRule="auto" w:line="288" w:before="120" w:after="283"/>
        <w:ind w:left="0" w:right="0" w:hanging="360"/>
        <w:jc w:val="left"/>
        <w:rPr>
          <w:rFonts w:ascii="Tahoma;sans-serif" w:hAnsi="Tahoma;sans-serif"/>
          <w:b w:val="false"/>
          <w:color w:val="000000"/>
          <w:sz w:val="20"/>
        </w:rPr>
      </w:pPr>
      <w:r>
        <w:rPr>
          <w:rFonts w:ascii="Tahoma;sans-serif" w:hAnsi="Tahoma;sans-serif"/>
          <w:b w:val="false"/>
          <w:color w:val="000000"/>
          <w:sz w:val="20"/>
        </w:rPr>
        <w:t xml:space="preserve">4.Consulting services and training services - The SSP of consulting services and training services is established based on the observable pricing of standalone sales within each geographic region where the services are sold.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See Note 2 of our consolidated financial statements for information related to recently issued accounting standards.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7A. Quantitative and Qualitative Disclosures About Market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Interest Rate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had cash and cash equivalents of $135.8 million as of December 31, 2025, which consisted of investments in money market funds, cash in readily available checking accounts, and overnight repurchase 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addition, as of December 31, 2025, we held $51.4 million of fixed income securities such as U.S. treasury bonds, commercial paper, and corporate bonds. These securities are subject to market risk due to fluctuations in interest rates, which may affect our interest income and the fair value of our investments. We classify investments as available-for-sale, including those with stated maturities beyond 12 months. As such, no gains or losses due to changes in interest rates are recognized in our consolidated statements of operations unless such securities are sold prior to maturity or due to expected credit losses. A hypothetical 100 basis point change in interest rates would not have had a material effect on the fair market value of our investment portfolio as of December 31, 2025. To date, fluctuations in interest income have also not been significant. Our investments are made for the purpose of preserving capital, fulfilling liquidity needs, and maximizing total return. We do not enter into investments for trading or speculative purposes.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we had outstanding principal debt of $240.8 million, which carries interest as defined in our Credit Agreement. Refer to Note 8 of the consolidated financial statements for additional details. We assessed our exposure to changes in interest rates by analyzing sensitivity to our operating results assuming various changes in market interest rates. A hypothetical increase of one percentage point in the interest rate as of December 31, 2025 would increase our interest expense by approximately $2.4 million annually.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Inflation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are exposed to market risks related to inflation in personnel costs, third-party service providers, subcontracting costs, professional fees, and general overhead expenses. If inflation pressure increases in severity, we may not be able to fully offset such higher costs through price increases and productivity initiatives. While we do not believe inflation has had a material impact on our results of operations to date, a continued high rate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53670"/>
                <wp:effectExtent l="0" t="0" r="0" b="0"/>
                <wp:wrapNone/>
                <wp:docPr id="65" name="Frame6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inflation in the future may have an adverse effect on our ability to maintain operating costs and adversely affect our gross profit margin.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Foreign Currency Exchange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reporting currency is the U.S. dollar. Due to our international operations, we have foreign currency risks related to revenue and operating expenses denominated in currencies other than the U.S. dollar, primarily the British pound sterling, Euro, Australian dollar, and Swiss franc. Our sales contracts are primarily denominated in the local currency of the customer making the purchase. In addition, portions of operating expenses are incurred outside the United States and are denominated in foreign currencies. An increase in the relative value of the U.S. dollar to other currencies will negatively affect revenue and other operating results as expressed in U.S. dollars. Based on a sensitivity analysis, a 10% change in the foreign currency exchange rates for the year ended December 31, 2025 would have impacted our total revenue by approximately $25.0 million and net income by approximately $3.7 million. This calculation assumes all currencies change in the same direction and proportion relative to the U.S. dollar.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experienced, and will continue to experience, fluctuations in net income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53670"/>
                <wp:effectExtent l="0" t="0" r="0" b="0"/>
                <wp:wrapNone/>
                <wp:docPr id="66" name="Frame6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INDEX TO CONSOLIDATED FINANCIAL STATEMENTS</w:t>
      </w:r>
    </w:p>
    <w:p>
      <w:pPr>
        <w:pStyle w:val="TextBody"/>
        <w:bidi w:val="0"/>
        <w:spacing w:before="0" w:after="0"/>
        <w:jc w:val="center"/>
        <w:rPr/>
      </w:pPr>
      <w:r>
        <w:rPr/>
      </w:r>
    </w:p>
    <w:tbl>
      <w:tblPr>
        <w:tblW w:w="6541" w:type="dxa"/>
        <w:jc w:val="left"/>
        <w:tblInd w:w="0" w:type="dxa"/>
        <w:tblLayout w:type="fixed"/>
        <w:tblCellMar>
          <w:top w:w="28" w:type="dxa"/>
          <w:left w:w="28" w:type="dxa"/>
          <w:bottom w:w="28" w:type="dxa"/>
          <w:right w:w="28" w:type="dxa"/>
        </w:tblCellMar>
      </w:tblPr>
      <w:tblGrid>
        <w:gridCol w:w="2161"/>
        <w:gridCol w:w="1900"/>
        <w:gridCol w:w="1909"/>
        <w:gridCol w:w="167"/>
        <w:gridCol w:w="167"/>
        <w:gridCol w:w="237"/>
      </w:tblGrid>
      <w:tr>
        <w:trPr/>
        <w:tc>
          <w:tcPr>
            <w:tcW w:w="2161"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Consolidated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20"/>
              </w:rPr>
            </w:pPr>
            <w:r>
              <w:rPr>
                <w:rFonts w:ascii="Tahoma;sans-serif" w:hAnsi="Tahoma;sans-serif"/>
                <w:b/>
                <w:color w:val="000000"/>
                <w:sz w:val="20"/>
              </w:rPr>
              <w:t>Page</w:t>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88">
              <w:r>
                <w:rPr>
                  <w:rStyle w:val="InternetLink"/>
                  <w:rFonts w:ascii="Tahoma;sans-serif" w:hAnsi="Tahoma;sans-serif"/>
                  <w:b w:val="false"/>
                  <w:color w:val="0000FF"/>
                  <w:sz w:val="20"/>
                  <w:u w:val="single"/>
                </w:rPr>
                <w:t>Report of Independent Registered Public Accounting Firm</w:t>
              </w:r>
            </w:hyperlink>
            <w:r>
              <w:rPr>
                <w:color w:val="000000"/>
              </w:rPr>
              <w:t xml:space="preserve">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88">
              <w:r>
                <w:rPr>
                  <w:rStyle w:val="InternetLink"/>
                  <w:rFonts w:ascii="Tahoma;sans-serif" w:hAnsi="Tahoma;sans-serif"/>
                  <w:b w:val="false"/>
                  <w:color w:val="0000FF"/>
                  <w:sz w:val="20"/>
                  <w:u w:val="single"/>
                </w:rPr>
                <w:t>66</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94">
              <w:r>
                <w:rPr>
                  <w:rStyle w:val="InternetLink"/>
                  <w:rFonts w:ascii="Tahoma;sans-serif" w:hAnsi="Tahoma;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94">
              <w:r>
                <w:rPr>
                  <w:rStyle w:val="InternetLink"/>
                  <w:rFonts w:ascii="Tahoma;sans-serif" w:hAnsi="Tahoma;sans-serif"/>
                  <w:b w:val="false"/>
                  <w:color w:val="0000FF"/>
                  <w:sz w:val="20"/>
                  <w:u w:val="single"/>
                </w:rPr>
                <w:t>70</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97">
              <w:r>
                <w:rPr>
                  <w:rStyle w:val="InternetLink"/>
                  <w:rFonts w:ascii="Tahoma;sans-serif" w:hAnsi="Tahoma;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97">
              <w:r>
                <w:rPr>
                  <w:rStyle w:val="InternetLink"/>
                  <w:rFonts w:ascii="Tahoma;sans-serif" w:hAnsi="Tahoma;sans-serif"/>
                  <w:b w:val="false"/>
                  <w:color w:val="0000FF"/>
                  <w:sz w:val="20"/>
                  <w:u w:val="single"/>
                </w:rPr>
                <w:t>71</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00">
              <w:r>
                <w:rPr>
                  <w:rStyle w:val="InternetLink"/>
                  <w:rFonts w:ascii="Tahoma;sans-serif" w:hAnsi="Tahoma;sans-serif"/>
                  <w:b w:val="false"/>
                  <w:color w:val="0000FF"/>
                  <w:sz w:val="20"/>
                  <w:u w:val="single"/>
                </w:rPr>
                <w:t>Consolidated Statements of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00">
              <w:r>
                <w:rPr>
                  <w:rStyle w:val="InternetLink"/>
                  <w:rFonts w:ascii="Tahoma;sans-serif" w:hAnsi="Tahoma;sans-serif"/>
                  <w:b w:val="false"/>
                  <w:color w:val="0000FF"/>
                  <w:sz w:val="20"/>
                  <w:u w:val="single"/>
                </w:rPr>
                <w:t>72</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03">
              <w:r>
                <w:rPr>
                  <w:rStyle w:val="InternetLink"/>
                  <w:rFonts w:ascii="Tahoma;sans-serif" w:hAnsi="Tahoma;sans-serif"/>
                  <w:b w:val="false"/>
                  <w:color w:val="0000FF"/>
                  <w:sz w:val="20"/>
                  <w:u w:val="single"/>
                </w:rPr>
                <w:t>Consolidated Statements of Changes in Stockholders' Equity (Deficit)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03">
              <w:r>
                <w:rPr>
                  <w:rStyle w:val="InternetLink"/>
                  <w:rFonts w:ascii="Tahoma;sans-serif" w:hAnsi="Tahoma;sans-serif"/>
                  <w:b w:val="false"/>
                  <w:color w:val="0000FF"/>
                  <w:sz w:val="20"/>
                  <w:u w:val="single"/>
                </w:rPr>
                <w:t>73</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06">
              <w:r>
                <w:rPr>
                  <w:rStyle w:val="InternetLink"/>
                  <w:rFonts w:ascii="Tahoma;sans-serif" w:hAnsi="Tahoma;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06">
              <w:r>
                <w:rPr>
                  <w:rStyle w:val="InternetLink"/>
                  <w:rFonts w:ascii="Tahoma;sans-serif" w:hAnsi="Tahoma;sans-serif"/>
                  <w:b w:val="false"/>
                  <w:color w:val="0000FF"/>
                  <w:sz w:val="20"/>
                  <w:u w:val="single"/>
                </w:rPr>
                <w:t>74</w:t>
              </w:r>
            </w:hyperlink>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c6feb1030d341dcb89cf3e2920c4a4a_109">
              <w:r>
                <w:rPr>
                  <w:rStyle w:val="InternetLink"/>
                  <w:rFonts w:ascii="Tahoma;sans-serif" w:hAnsi="Tahoma;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c6feb1030d341dcb89cf3e2920c4a4a_109">
              <w:r>
                <w:rPr>
                  <w:rStyle w:val="InternetLink"/>
                  <w:rFonts w:ascii="Tahoma;sans-serif" w:hAnsi="Tahoma;sans-serif"/>
                  <w:b w:val="false"/>
                  <w:color w:val="0000FF"/>
                  <w:sz w:val="20"/>
                  <w:u w:val="single"/>
                </w:rPr>
                <w:t>75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53670"/>
                <wp:effectExtent l="0" t="0" r="0" b="0"/>
                <wp:wrapNone/>
                <wp:docPr id="67" name="Frame6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Shareholders and Board of Directors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Corporation</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Opinion on the Consolidated Financial Statements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have audited the accompanying consolidated balance sheets of Appian Corporation (the “Company”) as of December 31, 2025 and 2024, the related consolidated statements of operations, comprehensive loss, changes in stockholders’ equity (deficit),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20"/>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ahoma;sans-serif" w:hAnsi="Tahoma;sans-serif"/>
          <w:b w:val="false"/>
          <w:i/>
          <w:color w:val="000000"/>
          <w:sz w:val="20"/>
        </w:rPr>
        <w:t>Internal Control – Integrated Framework (2013)</w:t>
      </w:r>
      <w:r>
        <w:rPr>
          <w:color w:val="000000"/>
        </w:rPr>
        <w:t xml:space="preserve"> </w:t>
      </w:r>
      <w:r>
        <w:rPr>
          <w:rFonts w:ascii="Tahoma;sans-serif" w:hAnsi="Tahoma;sans-serif"/>
          <w:b w:val="false"/>
          <w:color w:val="000000"/>
          <w:sz w:val="20"/>
        </w:rPr>
        <w:t>issued by the Committee of Sponsoring Organizations of the Treadway Commission (“COSO”) and our report dated February 19, 2026 expressed an unqualified opinion thereon.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Critical Audit Matter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Revenue Recognition for Multiple Performance Obligations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53670"/>
                <wp:effectExtent l="0" t="0" r="0" b="0"/>
                <wp:wrapNone/>
                <wp:docPr id="68" name="Frame6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As discussed in Note 3 to the consolidated financial statements, certain of the Company's revenue contracts contain multiple performance obligations that might include cloud subscriptions, license subscriptions, maintenance and support and professional services. The Company accounts for individual products and services separately if they are capable of being distinct and are distinct within the context of the contract. In such cases, the transaction price is allocated to the distinct performance obligations based on their relative standalone selling price, which either is the observable price at which the Company sells the product or service separately, or estimated standalone selling price using a residual approach in the absence of observable pricing. Revenue is recognized when control of the distinct performance obligation is transferred.</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We identified the revenue recognition for certain revenue contracts as a critical audit matter due to the significant management judgment involved in the identification of distinct performance obligations and the allocation of the transaction price to each performance obligation based on its relative standalone selling price. Auditing these elements of revenue recognition involved especially challenging auditor judgment due to the nature and extent of audit effort required to address these matters.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The primary procedures we performed to address this critical audit matter included: </w:t>
      </w:r>
    </w:p>
    <w:p>
      <w:pPr>
        <w:pStyle w:val="TextBody"/>
        <w:bidi w:val="0"/>
        <w:spacing w:before="0" w:after="0"/>
        <w:jc w:val="left"/>
        <w:rPr/>
      </w:pPr>
      <w:r>
        <w:rPr/>
      </w:r>
    </w:p>
    <w:p>
      <w:pPr>
        <w:pStyle w:val="TextBody"/>
        <w:bidi w:val="0"/>
        <w:spacing w:lineRule="auto" w:line="288" w:before="0" w:after="120"/>
        <w:ind w:left="0" w:right="0" w:hanging="360"/>
        <w:jc w:val="left"/>
        <w:rPr>
          <w:color w:val="000000"/>
        </w:rPr>
      </w:pPr>
      <w:r>
        <w:rPr>
          <w:color w:val="000000"/>
        </w:rPr>
        <w:t>•    </w:t>
      </w:r>
      <w:r>
        <w:rPr>
          <w:rFonts w:ascii="Tahoma;sans-serif" w:hAnsi="Tahoma;sans-serif"/>
          <w:b w:val="false"/>
          <w:color w:val="000000"/>
          <w:sz w:val="20"/>
        </w:rPr>
        <w:t xml:space="preserve">Testing the design and operating effectiveness of internal controls over the Company's revenue recognition process including controls over: (i) the identification of distinct performance obligations, and (ii) the allocation of the transaction price to each performance obligation based on its relative standalone selling price. </w:t>
      </w:r>
    </w:p>
    <w:p>
      <w:pPr>
        <w:pStyle w:val="TextBody"/>
        <w:bidi w:val="0"/>
        <w:spacing w:lineRule="auto" w:line="288" w:before="0" w:after="120"/>
        <w:ind w:left="0" w:right="0" w:hanging="360"/>
        <w:jc w:val="left"/>
        <w:rPr>
          <w:color w:val="000000"/>
        </w:rPr>
      </w:pPr>
      <w:r>
        <w:rPr>
          <w:color w:val="000000"/>
        </w:rPr>
        <w:t>•    </w:t>
      </w:r>
      <w:r>
        <w:rPr>
          <w:rFonts w:ascii="Tahoma;sans-serif" w:hAnsi="Tahoma;sans-serif"/>
          <w:b w:val="false"/>
          <w:color w:val="000000"/>
          <w:sz w:val="20"/>
        </w:rPr>
        <w:t xml:space="preserve">Testing a sample of revenue contracts to evaluate management’s identification of distinct performance obligations. </w:t>
      </w:r>
    </w:p>
    <w:p>
      <w:pPr>
        <w:pStyle w:val="TextBody"/>
        <w:bidi w:val="0"/>
        <w:spacing w:lineRule="auto" w:line="288" w:before="0" w:after="0"/>
        <w:ind w:left="0" w:right="0" w:hanging="360"/>
        <w:jc w:val="left"/>
        <w:rPr>
          <w:color w:val="000000"/>
        </w:rPr>
      </w:pPr>
      <w:r>
        <w:rPr>
          <w:color w:val="000000"/>
        </w:rPr>
        <w:t>•    </w:t>
      </w:r>
      <w:r>
        <w:rPr>
          <w:rFonts w:ascii="Tahoma;sans-serif" w:hAnsi="Tahoma;sans-serif"/>
          <w:b w:val="false"/>
          <w:color w:val="000000"/>
          <w:sz w:val="20"/>
        </w:rPr>
        <w:t xml:space="preserve">Testing a sample of revenue contracts to evaluate management’s allocation of the transaction price to each performance obligation based on its relative standalone selling price.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have served as the Company's auditor since 2013.</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53670"/>
                <wp:effectExtent l="0" t="0" r="0" b="0"/>
                <wp:wrapNone/>
                <wp:docPr id="69" name="Frame6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 xml:space="preserve">Report of Independent Registered Public Accounting Firm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Shareholders and Board of Directors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Appian Corporation</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ahoma;sans-serif" w:hAnsi="Tahoma;sans-serif"/>
          <w:b w:val="false"/>
          <w:color w:val="000000"/>
          <w:sz w:val="20"/>
        </w:rPr>
        <w:t xml:space="preserve">We have audited Appian Corporation’s (the “Company’s”) internal control over financial reporting as of December 31, 2025, based on criteria established in </w:t>
      </w:r>
      <w:r>
        <w:rPr>
          <w:rFonts w:ascii="Tahoma;sans-serif" w:hAnsi="Tahoma;sans-serif"/>
          <w:b w:val="false"/>
          <w:i/>
          <w:color w:val="000000"/>
          <w:sz w:val="20"/>
        </w:rPr>
        <w:t>Internal Control – Integrated Framework (2013)</w:t>
      </w:r>
      <w:r>
        <w:rPr>
          <w:color w:val="000000"/>
        </w:rPr>
        <w:t xml:space="preserve"> </w:t>
      </w:r>
      <w:r>
        <w:rPr>
          <w:rFonts w:ascii="Tahoma;sans-serif" w:hAnsi="Tahoma;sans-serif"/>
          <w:b w:val="false"/>
          <w:color w:val="000000"/>
          <w:sz w:val="20"/>
        </w:rPr>
        <w:t>issued by the Committee of Sponsoring Organizations of the Treadway Commission (the “COSO criteria”). In our opinion, the Company maintained, in all material respects, effective internal control over financial reporting as of December 31, 2025, based on the COSO criteria</w:t>
      </w:r>
      <w:r>
        <w:rPr>
          <w:rFonts w:ascii="Tahoma;sans-serif" w:hAnsi="Tahoma;sans-serif"/>
          <w:b w:val="false"/>
          <w:i/>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operations, comprehensive loss, changes in stockholders’ equity (deficit), and cash flows for each of the three years in the period ended December 31, 2025, and the related notes and our report dated February 19, 2026 expressed an unqualified opinion thereon.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Item 9A,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53670"/>
                <wp:effectExtent l="0" t="0" r="0" b="0"/>
                <wp:wrapNone/>
                <wp:docPr id="70" name="Frame6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McLean, Virginia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February 19,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53670"/>
                <wp:effectExtent l="0" t="0" r="0" b="0"/>
                <wp:wrapNone/>
                <wp:docPr id="71" name="Frame6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BALANCE SHEETS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share and per share data)</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74"/>
        <w:gridCol w:w="2490"/>
        <w:gridCol w:w="2495"/>
        <w:gridCol w:w="181"/>
        <w:gridCol w:w="646"/>
        <w:gridCol w:w="109"/>
        <w:gridCol w:w="109"/>
        <w:gridCol w:w="109"/>
        <w:gridCol w:w="109"/>
        <w:gridCol w:w="181"/>
        <w:gridCol w:w="646"/>
        <w:gridCol w:w="156"/>
      </w:tblGrid>
      <w:tr>
        <w:trPr/>
        <w:tc>
          <w:tcPr>
            <w:tcW w:w="2974"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As of December 31,</w:t>
            </w:r>
          </w:p>
        </w:tc>
      </w:tr>
      <w:tr>
        <w:trP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2024</w:t>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135,810 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118,552 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Short-term investments and marketable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Accounts receivable, net of allowance of $3,362 and $3,396,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195,069 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36,630 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current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519,424 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435,543 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Property and equipment, net of accumulated depreciation of $40,747 and $32,142,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37,109 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Goodwill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25,555 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Intangible assets, net of accumulated amortization of $7,301 and $5,341,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2,240 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Right-of-use assets for operating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31,081 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 net of current portion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60,540 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tax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24,842 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assets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621,039 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Liabilities and Stockholders’ Deficit</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payable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18,483 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compensation and related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34,223 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281,760 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12,378 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current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452,107 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354,756 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231,228 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240,826 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Non-current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45,693 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52,189 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Total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738,388 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653,679 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 xml:space="preserve">Commitments and contingent liabilities (see Note 13) </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Stockholders’ deficit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Class A common stock—par value $0.0001; 500,000,000 shares authorized as of December 31, 2025 and 2024 and 43,408,828 and 42,938,701 shares issued as of December 31, 2025 and 2024, respectively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Class B common stock—par value $0.0001; 100,000,000 shares authorized as of December 31, 2025 and 2024 and 31,088,085 and 31,090,085 shares issued as of December 31, 2025 and 2024, respectively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Treasury stock at cost, 542,288 shares as of December 31,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Additional paid-in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591,281 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Accumulated 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(36,462)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(11,774)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Accumulated deficit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(610,921)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(612,154)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Total stockholders’ deficit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(46,993)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(32,640)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Total liabilities and stockholders’ deficit</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691,395 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621,039 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53670"/>
                <wp:effectExtent l="0" t="0" r="0" b="0"/>
                <wp:wrapNone/>
                <wp:docPr id="72" name="Frame7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OPERATIONS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per share data)</w:t>
      </w:r>
    </w:p>
    <w:p>
      <w:pPr>
        <w:pStyle w:val="TextBody"/>
        <w:bidi w:val="0"/>
        <w:spacing w:before="0" w:after="0"/>
        <w:jc w:val="center"/>
        <w:rPr/>
      </w:pPr>
      <w:r>
        <w:rPr/>
      </w:r>
    </w:p>
    <w:tbl>
      <w:tblPr>
        <w:tblW w:w="8276" w:type="dxa"/>
        <w:jc w:val="center"/>
        <w:tblInd w:w="0" w:type="dxa"/>
        <w:tblLayout w:type="fixed"/>
        <w:tblCellMar>
          <w:top w:w="28" w:type="dxa"/>
          <w:left w:w="28" w:type="dxa"/>
          <w:bottom w:w="28" w:type="dxa"/>
          <w:right w:w="28" w:type="dxa"/>
        </w:tblCellMar>
      </w:tblPr>
      <w:tblGrid>
        <w:gridCol w:w="1430"/>
        <w:gridCol w:w="1258"/>
        <w:gridCol w:w="1271"/>
        <w:gridCol w:w="211"/>
        <w:gridCol w:w="856"/>
        <w:gridCol w:w="109"/>
        <w:gridCol w:w="109"/>
        <w:gridCol w:w="109"/>
        <w:gridCol w:w="109"/>
        <w:gridCol w:w="211"/>
        <w:gridCol w:w="856"/>
        <w:gridCol w:w="109"/>
        <w:gridCol w:w="109"/>
        <w:gridCol w:w="109"/>
        <w:gridCol w:w="109"/>
        <w:gridCol w:w="211"/>
        <w:gridCol w:w="946"/>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576,462 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726,937 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Cost of revenue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cost of revenue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168,240 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160,342 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Gross profit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527,338 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385,021 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238,454 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249,968 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526,729 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509,635 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492,994 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Operating income (loss)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(107,973)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Other non-operating (income) expense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Total other non-operating (income) expense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Earnings (loss) per Class A and Class B share:</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20"/>
              </w:rPr>
            </w:pPr>
            <w:r>
              <w:rPr>
                <w:rFonts w:ascii="Tahoma;sans-serif" w:hAnsi="Tahoma;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common shares outstanding: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Basic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pStyle w:val="TextBody"/>
        <w:bidi w:val="0"/>
        <w:spacing w:before="12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53670"/>
                <wp:effectExtent l="0" t="0" r="0" b="0"/>
                <wp:wrapNone/>
                <wp:docPr id="73" name="Frame7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COMPREHENSIVE LOSS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w:t>
      </w:r>
    </w:p>
    <w:p>
      <w:pPr>
        <w:pStyle w:val="TextBody"/>
        <w:bidi w:val="0"/>
        <w:spacing w:before="0" w:after="0"/>
        <w:jc w:val="center"/>
        <w:rPr/>
      </w:pPr>
      <w:r>
        <w:rPr/>
      </w:r>
    </w:p>
    <w:tbl>
      <w:tblPr>
        <w:tblW w:w="8847" w:type="dxa"/>
        <w:jc w:val="center"/>
        <w:tblInd w:w="0" w:type="dxa"/>
        <w:tblLayout w:type="fixed"/>
        <w:tblCellMar>
          <w:top w:w="28" w:type="dxa"/>
          <w:left w:w="28" w:type="dxa"/>
          <w:bottom w:w="28" w:type="dxa"/>
          <w:right w:w="28" w:type="dxa"/>
        </w:tblCellMar>
      </w:tblPr>
      <w:tblGrid>
        <w:gridCol w:w="1648"/>
        <w:gridCol w:w="1453"/>
        <w:gridCol w:w="1459"/>
        <w:gridCol w:w="211"/>
        <w:gridCol w:w="841"/>
        <w:gridCol w:w="109"/>
        <w:gridCol w:w="109"/>
        <w:gridCol w:w="109"/>
        <w:gridCol w:w="109"/>
        <w:gridCol w:w="211"/>
        <w:gridCol w:w="841"/>
        <w:gridCol w:w="109"/>
        <w:gridCol w:w="109"/>
        <w:gridCol w:w="109"/>
        <w:gridCol w:w="109"/>
        <w:gridCol w:w="211"/>
        <w:gridCol w:w="946"/>
        <w:gridCol w:w="154"/>
      </w:tblGrid>
      <w:tr>
        <w:trPr/>
        <w:tc>
          <w:tcPr>
            <w:tcW w:w="16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Comprehensive loss, net of income taxes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Unrealized (losses) gains on available-for-sale securities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Other comprehensive loss, net of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(23,455)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(80,481)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(127,750)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53670"/>
                <wp:effectExtent l="0" t="0" r="0" b="0"/>
                <wp:wrapNone/>
                <wp:docPr id="74" name="Frame7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CHANGES IN STOCKHOLDERS' EQUITY (DEFICIT)</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 except share data)</w:t>
      </w:r>
    </w:p>
    <w:p>
      <w:pPr>
        <w:pStyle w:val="TextBody"/>
        <w:bidi w:val="0"/>
        <w:spacing w:before="0" w:after="0"/>
        <w:jc w:val="center"/>
        <w:rPr/>
      </w:pPr>
      <w:r>
        <w:rPr/>
      </w:r>
    </w:p>
    <w:tbl>
      <w:tblPr>
        <w:tblW w:w="10421" w:type="dxa"/>
        <w:jc w:val="center"/>
        <w:tblInd w:w="0" w:type="dxa"/>
        <w:tblLayout w:type="fixed"/>
        <w:tblCellMar>
          <w:top w:w="28" w:type="dxa"/>
          <w:left w:w="28" w:type="dxa"/>
          <w:bottom w:w="28" w:type="dxa"/>
          <w:right w:w="28" w:type="dxa"/>
        </w:tblCellMar>
      </w:tblPr>
      <w:tblGrid>
        <w:gridCol w:w="670"/>
        <w:gridCol w:w="272"/>
        <w:gridCol w:w="274"/>
        <w:gridCol w:w="480"/>
        <w:gridCol w:w="481"/>
        <w:gridCol w:w="201"/>
        <w:gridCol w:w="109"/>
        <w:gridCol w:w="109"/>
        <w:gridCol w:w="109"/>
        <w:gridCol w:w="242"/>
        <w:gridCol w:w="298"/>
        <w:gridCol w:w="136"/>
        <w:gridCol w:w="109"/>
        <w:gridCol w:w="109"/>
        <w:gridCol w:w="109"/>
        <w:gridCol w:w="196"/>
        <w:gridCol w:w="736"/>
        <w:gridCol w:w="109"/>
        <w:gridCol w:w="109"/>
        <w:gridCol w:w="109"/>
        <w:gridCol w:w="109"/>
        <w:gridCol w:w="249"/>
        <w:gridCol w:w="842"/>
        <w:gridCol w:w="140"/>
        <w:gridCol w:w="109"/>
        <w:gridCol w:w="109"/>
        <w:gridCol w:w="109"/>
        <w:gridCol w:w="196"/>
        <w:gridCol w:w="751"/>
        <w:gridCol w:w="109"/>
        <w:gridCol w:w="109"/>
        <w:gridCol w:w="109"/>
        <w:gridCol w:w="109"/>
        <w:gridCol w:w="196"/>
        <w:gridCol w:w="661"/>
        <w:gridCol w:w="109"/>
        <w:gridCol w:w="109"/>
        <w:gridCol w:w="109"/>
        <w:gridCol w:w="109"/>
        <w:gridCol w:w="200"/>
        <w:gridCol w:w="752"/>
        <w:gridCol w:w="159"/>
      </w:tblGrid>
      <w:tr>
        <w:trPr/>
        <w:tc>
          <w:tcPr>
            <w:tcW w:w="6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6"/>
              </w:rPr>
            </w:pPr>
            <w:r>
              <w:rPr>
                <w:rFonts w:ascii="Tahoma;sans-serif" w:hAnsi="Tahoma;sans-serif"/>
                <w:b/>
                <w:color w:val="000000"/>
                <w:sz w:val="16"/>
              </w:rPr>
              <w:t>Total Stockholders' Equity (Deficit)</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6"/>
              </w:rPr>
            </w:pPr>
            <w:r>
              <w:rPr>
                <w:rFonts w:ascii="Tahoma;sans-serif" w:hAnsi="Tahom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72,817,887 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561,390 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(7,246)</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(408,451)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145,700 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(111,441)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19,687 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430,582 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(9,748)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98,610 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43,387 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(16,309)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(16,309)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73,366,766 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595,781 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(23,555)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(519,892)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52,341 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(92,262)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(92,262)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20,216 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418,899 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(7,987)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1,543,436 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(29,643)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44,104 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14,461 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(1,320,531)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(50,019)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39,045 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74,028,786 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591,281 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(11,774)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(612,154)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(32,640)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1,233 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Issuance of common stock to directors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22,829 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434,940 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Exercise of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107,821 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1,118 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(639,751)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(20,000)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35,380 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(24,688)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(24,688)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6"/>
              </w:rPr>
            </w:pPr>
            <w:r>
              <w:rPr>
                <w:rFonts w:ascii="Tahoma;sans-serif" w:hAnsi="Tahoma;sans-serif"/>
                <w:b/>
                <w:color w:val="000000"/>
                <w:sz w:val="16"/>
              </w:rPr>
              <w:t>Balance December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73,954,625 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617,318 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(36,462)</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(610,921)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(16,935)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6"/>
              </w:rPr>
            </w:pPr>
            <w:r>
              <w:rPr>
                <w:rFonts w:ascii="Tahoma;sans-serif" w:hAnsi="Tahoma;sans-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6"/>
              </w:rPr>
            </w:pPr>
            <w:r>
              <w:rPr>
                <w:rFonts w:ascii="Tahoma;sans-serif" w:hAnsi="Tahoma;sans-serif"/>
                <w:b w:val="false"/>
                <w:color w:val="000000"/>
                <w:sz w:val="16"/>
              </w:rPr>
              <w:t>(46,993)</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53670"/>
                <wp:effectExtent l="0" t="0" r="0" b="0"/>
                <wp:wrapNone/>
                <wp:docPr id="75" name="Frame7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CONSOLIDATED STATEMENTS OF CASH FLOWS</w:t>
      </w:r>
    </w:p>
    <w:p>
      <w:pPr>
        <w:pStyle w:val="TextBody"/>
        <w:bidi w:val="0"/>
        <w:spacing w:lineRule="auto" w:line="288" w:before="0" w:after="0"/>
        <w:jc w:val="center"/>
        <w:rPr>
          <w:rFonts w:ascii="Tahoma;sans-serif" w:hAnsi="Tahoma;sans-serif"/>
          <w:b w:val="false"/>
          <w:i/>
          <w:color w:val="000000"/>
          <w:sz w:val="16"/>
        </w:rPr>
      </w:pPr>
      <w:r>
        <w:rPr>
          <w:rFonts w:ascii="Tahoma;sans-serif" w:hAnsi="Tahoma;sans-serif"/>
          <w:b w:val="false"/>
          <w:i/>
          <w:color w:val="000000"/>
          <w:sz w:val="16"/>
        </w:rPr>
        <w:t>(in thousands)</w:t>
      </w:r>
    </w:p>
    <w:p>
      <w:pPr>
        <w:pStyle w:val="TextBody"/>
        <w:bidi w:val="0"/>
        <w:spacing w:before="0" w:after="0"/>
        <w:jc w:val="center"/>
        <w:rPr/>
      </w:pPr>
      <w:r>
        <w:rPr/>
      </w:r>
    </w:p>
    <w:tbl>
      <w:tblPr>
        <w:tblW w:w="9288" w:type="dxa"/>
        <w:jc w:val="center"/>
        <w:tblInd w:w="0" w:type="dxa"/>
        <w:tblLayout w:type="fixed"/>
        <w:tblCellMar>
          <w:top w:w="28" w:type="dxa"/>
          <w:left w:w="28" w:type="dxa"/>
          <w:bottom w:w="28" w:type="dxa"/>
          <w:right w:w="28" w:type="dxa"/>
        </w:tblCellMar>
      </w:tblPr>
      <w:tblGrid>
        <w:gridCol w:w="1962"/>
        <w:gridCol w:w="1724"/>
        <w:gridCol w:w="1729"/>
        <w:gridCol w:w="195"/>
        <w:gridCol w:w="699"/>
        <w:gridCol w:w="118"/>
        <w:gridCol w:w="118"/>
        <w:gridCol w:w="118"/>
        <w:gridCol w:w="118"/>
        <w:gridCol w:w="195"/>
        <w:gridCol w:w="699"/>
        <w:gridCol w:w="118"/>
        <w:gridCol w:w="118"/>
        <w:gridCol w:w="118"/>
        <w:gridCol w:w="118"/>
        <w:gridCol w:w="195"/>
        <w:gridCol w:w="780"/>
        <w:gridCol w:w="166"/>
      </w:tblGrid>
      <w:tr>
        <w:trPr/>
        <w:tc>
          <w:tcPr>
            <w:tcW w:w="196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Year Ended December 31,</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5"/>
              </w:rPr>
            </w:pPr>
            <w:r>
              <w:rPr>
                <w:rFonts w:ascii="Tahoma;sans-serif" w:hAnsi="Tahoma;sans-serif"/>
                <w:b/>
                <w:color w:val="000000"/>
                <w:sz w:val="15"/>
              </w:rPr>
              <w:t>2023</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operating activities:</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Net income (loss)</w:t>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(92,262)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Adjustments to reconcile net income (loss) to net cash provided by (used by) operating activities:</w:t>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Stock-based compensation</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41,540 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39,045 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43,387 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Depreciation expense and amortization of intangible assets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9,706 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10,030 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9,473 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Lease impairment charges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5,462 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Bad debt expense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1,760 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Amortization of debt issuance costs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Benefit for deferred income taxes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(1,541)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Foreign currency transaction losses (gains), net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(21,732)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16,745 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Changes in assets and liabilities:</w:t>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receivable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(51,673)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(28,353)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Prepaid expenses and other assets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15,316 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16,551 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(54,753)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commissions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Accounts payable and accrued expenses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9,269 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compensation and related benefits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19,993 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(2,947)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Other current and non-current liabilities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(3,489)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Deferred revenue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47,200 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49,309 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28,668 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Operating lease assets and liabilities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(2,659)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2,089 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Net cash provided by (used by) operating activities</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62,874 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6,878 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(110,442)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investing activities:</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5"/>
              </w:rPr>
            </w:pPr>
            <w:r>
              <w:rPr>
                <w:rFonts w:ascii="Tahoma;sans-serif" w:hAnsi="Tahoma;sans-serif"/>
                <w:b w:val="false"/>
                <w:color w:val="000000"/>
                <w:sz w:val="15"/>
              </w:rPr>
              <w:t>Proceeds from maturities of investments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52,540 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20,038 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91,670 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Purchases of investments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(62,048)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(51,630)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(53,443)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Purchases of property and equipment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(3,318)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(3,798)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Net cash (used by) provided by investing activities</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(12,826)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(35,390)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28,590 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flows from financing activities:</w:t>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Proceeds from borrowings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92,000 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Payments for debt issuance costs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(463)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Debt repayments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(10,000)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(6,250)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(3,563)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Repurchase of common stock</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(50,019)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Payments for employee taxes related to the net share settlement of equity awards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(7,396)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(7,987)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(9,748)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Proceeds from exercise of common stock options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14,461 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Net cash (used by) provided by financing activities</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(36,278)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(258)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79,165 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Effect of foreign exchange rate changes on cash and cash equivalents</w:t>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3,488 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(2,029)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1,657 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Net increase (decrease) in cash and cash equivalents</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17,258 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(30,799)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(1,030)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5"/>
              </w:rPr>
            </w:pPr>
            <w:r>
              <w:rPr>
                <w:rFonts w:ascii="Tahoma;sans-serif" w:hAnsi="Tahoma;sans-serif"/>
                <w:b/>
                <w:color w:val="000000"/>
                <w:sz w:val="15"/>
              </w:rPr>
              <w:t>Cash and cash equivalents at beginning of period</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118,552 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149,351 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150,381 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Cash and cash equivalents at end of period</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135,810 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118,552 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149,351 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Supplemental cash flow information:</w:t>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paid for interest</w:t>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19,644 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22,574 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16,906 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Cash paid for income taxes</w:t>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5,120 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3,334 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3,999 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5"/>
              </w:rPr>
            </w:pPr>
            <w:r>
              <w:rPr>
                <w:rFonts w:ascii="Tahoma;sans-serif" w:hAnsi="Tahoma;sans-serif"/>
                <w:b/>
                <w:color w:val="000000"/>
                <w:sz w:val="15"/>
              </w:rPr>
              <w:t>Supplemental non-cash investing and financing information:</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Accrued capital expenditures</w:t>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155 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5"/>
              </w:rPr>
            </w:pPr>
            <w:r>
              <w:rPr>
                <w:rFonts w:ascii="Tahoma;sans-serif" w:hAnsi="Tahoma;sans-serif"/>
                <w:b w:val="false"/>
                <w:color w:val="000000"/>
                <w:sz w:val="15"/>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5"/>
              </w:rPr>
            </w:pPr>
            <w:r>
              <w:rPr>
                <w:rFonts w:ascii="Tahoma;sans-serif" w:hAnsi="Tahoma;sans-serif"/>
                <w:b w:val="false"/>
                <w:color w:val="000000"/>
                <w:sz w:val="15"/>
              </w:rPr>
              <w:t>654 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ahoma;sans-serif" w:hAnsi="Tahoma;sans-serif"/>
          <w:b w:val="false"/>
          <w:i/>
          <w:color w:val="000000"/>
          <w:sz w:val="16"/>
        </w:rPr>
      </w:pPr>
      <w:r>
        <w:rPr>
          <w:rFonts w:ascii="Tahoma;sans-serif" w:hAnsi="Tahoma;sans-serif"/>
          <w:b w:val="false"/>
          <w:i/>
          <w:color w:val="000000"/>
          <w:sz w:val="16"/>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53670"/>
                <wp:effectExtent l="0" t="0" r="0" b="0"/>
                <wp:wrapNone/>
                <wp:docPr id="76" name="Frame7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 xml:space="preserve">NOTES TO CONSOLIDATED FINANCIAL STATEMENTS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 Organization and Description of Business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Appian Corporation (together with its subsidiaries, “Appian,” the “Company,” “we,” or “our”) provides process automation technology. For over 25 years, our highly reliable and scalable platform has been leveraged by large enterprises and governments. Combining leading edge process orchestration and intelligence, we provide everything an organization needs to design, automate, and optimize critical processes, facilitating continuous adaptation in changing environments.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are headquartered in McLean, Virginia and operate in the United States, and internationally including Australia, Canada, France, Germany, India, Italy, Japan, Mexico, the Netherlands, Portugal, Singapore, Spain, Sweden, Switzerland, and the United Kingdom.</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2. Accounting Policies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Basis of Presentation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accompanying consolidated financial statements and footnotes include the accounts of Appian and its wholly-owned subsidiaries and have been prepared in accordance with accounting principles generally accepted in the United States (“U.S. GAAP”) as contained in the Financial Accounting Standards Board (“FASB”) Accounting Standards Codification (“ASC”). All intercompany accounts and transactions have been eliminated in consolidation.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Reclassifications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the year ended December 31, 2025, the Company reclassified certain information technology, cybersecurity and facility operating expenses from general and administrative expenses to cost of revenue, research and development, and sales and marketing expense. Prior year amounts have been reclassified to conform to the current period presentation. The revised presentation did not result in any changes to previously reported revenues, operating income (loss), income (loss) before income taxes, net income (loss), or earnings (loss) per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Use of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preparation of our consolidated financial statements in conformity with U.S. GAAP requires us to make estimates and judgments that affect the amounts reported in these consolidated financial statements and accompanying notes. Although we believe the estimates we use are reasonable, due to the inherent uncertainty involved in making these estimates, actual results reported in future periods could differ from those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Significant estimates embedded in the consolidated financial statements include, but are not limited to, revenue recognition, income taxes and the related valuation allowance established against deferred tax assets, the amortization period of deferred commissions, the amortization period of the cost to obtain the judgment preservation insurance policy (as discussed in Note 13), and 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Revenue Recognition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Refer to Note 3 for a detailed discussion on specific revenue recognition principles related to our major revenue streams.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53670"/>
                <wp:effectExtent l="0" t="0" r="0" b="0"/>
                <wp:wrapNone/>
                <wp:docPr id="77" name="Frame7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Concentration of Credit and Customer Risk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financial instruments exposed to concentration of credit and customer risk consist primarily of cash, cash equivalents, accounts receivable, and short-term investments and marketable securities. Deposits held with banks may exceed the amount of insurance provided on such deposits; however, we believe the financial institutions holding our cash deposits are financially sound and, accordingly, minimal credit risk exists with respect to these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With regard to our customers, credit evaluation and account monitoring procedures are used to minimize the risk of loss. Revenue generated from U.S. federal government agencies was 25.3%, 23.9%, and 21.3% of total revenue for the years ended December 31, 2025, 2024, and 2023, respectively. The top three U.S. federal government agencies generated 3.9%, 4.0%, and 4.2% of our revenue for the years ended December 31, 2025, 2024, and 2023, respectively. Additionally, 37.6%, 36.6%, and 35.8% of our revenue during the years ended December 31, 2025, 2024, and 2023, respectively, was generated from international customers.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 single customer accounted for more than 10% of our total revenue during the years ended December 31, 2025, 2024, and 2023. As of December 31, 2025 and 2024, we had one reseller whose accounts receivable balance comprised 13.4% and 17.5% of total accounts receivable,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Cash and Cash Equivalents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consider all highly liquid investments with original maturities of three months or less, as well as overnight repurchase agreements, to be cash equivalents.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Allowance for Expected Credit Losses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Accounts receivable and unbilled revenue are stated at realizable value, net of an allowance for expected credit losses. The allowance is based on our assessment of the collectability of accounts and incorporates an estimation of expected lifetime credit losses on our receivables. We regularly review the composition of the accounts receivable aging, historical bad debts, changes in payment patterns, customer creditworthiness, current economic trends, and reasonable economic forecasts that affect collectability. If the financial condition of our customers were to deteriorate, resulting in their inability to make required payments, additional provisions for expected credit losses would be required and would increase bad debt expense.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Activity in the allowance for doubtful accounts was as follows (in thousands):</w:t>
      </w:r>
    </w:p>
    <w:p>
      <w:pPr>
        <w:pStyle w:val="TextBody"/>
        <w:bidi w:val="0"/>
        <w:spacing w:before="0" w:after="0"/>
        <w:jc w:val="left"/>
        <w:rPr/>
      </w:pPr>
      <w:r>
        <w:rPr/>
      </w:r>
    </w:p>
    <w:tbl>
      <w:tblPr>
        <w:tblW w:w="7077" w:type="dxa"/>
        <w:jc w:val="left"/>
        <w:tblInd w:w="0" w:type="dxa"/>
        <w:tblLayout w:type="fixed"/>
        <w:tblCellMar>
          <w:top w:w="28" w:type="dxa"/>
          <w:left w:w="28" w:type="dxa"/>
          <w:bottom w:w="28" w:type="dxa"/>
          <w:right w:w="28" w:type="dxa"/>
        </w:tblCellMar>
      </w:tblPr>
      <w:tblGrid>
        <w:gridCol w:w="1260"/>
        <w:gridCol w:w="1106"/>
        <w:gridCol w:w="1114"/>
        <w:gridCol w:w="211"/>
        <w:gridCol w:w="646"/>
        <w:gridCol w:w="109"/>
        <w:gridCol w:w="109"/>
        <w:gridCol w:w="109"/>
        <w:gridCol w:w="109"/>
        <w:gridCol w:w="211"/>
        <w:gridCol w:w="646"/>
        <w:gridCol w:w="109"/>
        <w:gridCol w:w="109"/>
        <w:gridCol w:w="109"/>
        <w:gridCol w:w="109"/>
        <w:gridCol w:w="211"/>
        <w:gridCol w:w="64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Additions: Charged to costs and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Deductions: Write-offs, net of recoveries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53670"/>
                <wp:effectExtent l="0" t="0" r="0" b="0"/>
                <wp:wrapNone/>
                <wp:docPr id="78" name="Frame7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76</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Deferred Commissions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capitalize costs of obtaining a contract with a customer, which consist of sales commissions paid to our sales team and the associated incremental payroll taxes. These costs are recorded as deferred commissions in the consolidated balance sheets. Costs to obtain a subscriptions contract for a new customer or upsell an existing customer’s subscriptions are amortized over an estimated economic life of five years as sales commissions on initial sales are not commensurate with sales commissions on contract renewals. Commissions paid relating to contract renewals are deferred and amortized over the related renewal period. We determine the estimated economic life based on both qualitative and quantitative factors such as expected renewals, product life cycles, contractual terms, and customer attrition. We periodically review the carrying amount of deferred contract acquisition costs to determine whether events or changes in circumstances have occurred that could impact the estimated economic life. Costs to obtain a contract for professional services arrangements are expensed as incurred as the contractual period of our professional services arrangements are one year or less.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Amortization associated with deferred commissions is recorded to sales and marketing expense in our consolidated statements of operations. The following table summarizes the activity of costs to obtain a contract with a customer for the years ended December 31, 2025, and 2024 (in thousands):</w:t>
      </w:r>
    </w:p>
    <w:p>
      <w:pPr>
        <w:pStyle w:val="TextBody"/>
        <w:bidi w:val="0"/>
        <w:spacing w:before="0" w:after="0"/>
        <w:jc w:val="left"/>
        <w:rPr/>
      </w:pPr>
      <w:r>
        <w:rPr/>
      </w:r>
    </w:p>
    <w:tbl>
      <w:tblPr>
        <w:tblW w:w="5873" w:type="dxa"/>
        <w:jc w:val="left"/>
        <w:tblInd w:w="0" w:type="dxa"/>
        <w:tblLayout w:type="fixed"/>
        <w:tblCellMar>
          <w:top w:w="28" w:type="dxa"/>
          <w:left w:w="28" w:type="dxa"/>
          <w:bottom w:w="28" w:type="dxa"/>
          <w:right w:w="28" w:type="dxa"/>
        </w:tblCellMar>
      </w:tblPr>
      <w:tblGrid>
        <w:gridCol w:w="1178"/>
        <w:gridCol w:w="1034"/>
        <w:gridCol w:w="1042"/>
        <w:gridCol w:w="211"/>
        <w:gridCol w:w="856"/>
        <w:gridCol w:w="109"/>
        <w:gridCol w:w="109"/>
        <w:gridCol w:w="109"/>
        <w:gridCol w:w="109"/>
        <w:gridCol w:w="211"/>
        <w:gridCol w:w="751"/>
        <w:gridCol w:w="154"/>
      </w:tblGrid>
      <w:tr>
        <w:trPr/>
        <w:tc>
          <w:tcPr>
            <w:tcW w:w="117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Additional contract costs deferred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Amortization of deferred contract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97,170 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Commission expense was $54.4 million, $50.4 million, and $46.8 million for the years ended December 31, 2025, 2024, and 2023, respectively.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Property and Equipment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Property and equipment are stated at cost less accumulated depreciation. Depreciation is computed using the straight-line method over the estimated useful lives of the assets. Significant additions or improvements extending the useful life of an asset are capitalized, while repairs and maintenance costs which do not significantly improve the related assets or extend their useful lives are charged to expense as incurred. The estimated useful lives of our property and equipment are generally 3 years for computer software, computer hardware, and internally developed software, 5 years for equipment, and 10 years for office furniture and fixtures. Leasehold improvements have an estimated useful life of the shorter of the useful life of the assets or the lease term.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Impairment of Goodwill and Long-Lived Assets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Long-lived tangible assets and intangible assets with definite useful lives are reviewed for impairment whenever events or changes in circumstances indicate the carrying amount of an asset may not be recoverable through undiscounted cash flows from the use of the assets. If such assets are considered to be impaired, the assets are written down to their estimated fair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Goodwill is accounted for at the segment level and allocated to, and tested for impairment at, a level referred to as the reporting unit. We have determined our one segment consists of a single reporting unit. We test for impairment annually on the first day of the fourth quarter or between annual tests if events or changes in circumstances indicate the fair value of our reporting unit may be below its carrying amount. We have the option to qualitatively assess whether it is more likely than not the fair value our reporting unit is less than its carrying value. If we elect to perform a qualitative assessment and conclude it is more likely than not the fair value of the reporting unit is equal to or greater than its carrying value, no further assessment of that reporting unit’s goodwill is necessary; otherwise, goodwill must be tested for impairment.</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53670"/>
                <wp:effectExtent l="0" t="0" r="0" b="0"/>
                <wp:wrapNone/>
                <wp:docPr id="79" name="Frame7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When performing the quantitative test, we determine the fair value of the reporting unit and compare it to the carrying amount, including goodwill. If the carrying amount of the reporting unit exceeds the fair value of the reporting unit, the reporting unit’s goodwill is impaired, and we must recognize an impairment loss for the difference between the carrying amount and the fair value of the reporting unit. We estimate the fair value of our reporting unit using a market-based valuation methodology, which is primarily based on our consolidated market capitalization.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2025, our qualitative assessment concluded the fair value of our reporting unit is more likely than not higher than its carrying value. Therefore, we did not perform a quantitative assessment. No goodwill impairment was identified in the years ended December 31, 2025, 2024, and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Compensation expense related to stock-based awards is calculated by determining the estimated fair value of the award on the grant date. We calculate the fair value of stock options containing only a service condition using the Black-Scholes option pricing model. The fair value of restricted stock units (“RSUs”) is based on the closing market price of our common stock on the Nasdaq Global Market on the date of grant. For service-based awards such as RSUs, stock-based compensation expense is recognized on a straight-line basis over the requisite service period. For awards that contain market conditions, compensation expense is measured using a Monte Carlo simulation and recognized using the accelerated attribution method over the derived service period based on the expected market performance as of the grant date. We account for forfeitures as they occur rather than estimating expected forfeitures.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Leases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combine lease and non-lease components and account for them as a single lease component for our facility leases. The discount rates related to our lease liabilities are based on estimates of our incremental borrowing rate on a secured basis, as the discount rates implicit in our lease agreements cannot be readily determined.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Basic and Diluted Income or Loss per Common Share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compute net income or loss per common share using the two-class method required for multiple classes of common stock and participating securities. The rights, including the liquidation and dividend rights, of the Class A common stock and Class B common stock are substantially identical, other than voting and conversion rights. Accordingly, the Class A common stock and Class B common stock share equally in our net income or losses.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Basic net income or loss per common share is computed by dividing net income or loss by the weighted-average number of shares of common shares outstanding during the period. Diluted net income per common share is computed similar to basic, except the weighted average number of common shares outstanding is increased to include additional outstanding shares from the assumed exercise of stock options and vesting of RSUs, if dilutive. The dilutive effect, if any, of convertible shares is calculated using the treasury stock method. For periods where we reported net losses all outstanding shares would be considered antidilutive if they were assumed to be vested or exercised.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Income Taxes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use the asset and liability method of accounting for income taxes in which deferred tax assets and liabilities are recognized for the future tax consequences attributable to differences between the consolidated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recoverable or settled. We recognize the effect on deferred tax assets and liabilities of a change in tax rates as income and expense in the period that includes the enactment date. A valuation allowance is established if it is more likely than not that all or a portion of the deferred tax asset will not be realized.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53670"/>
                <wp:effectExtent l="0" t="0" r="0" b="0"/>
                <wp:wrapNone/>
                <wp:docPr id="80" name="Frame7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78</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tax positions are subject to income tax audits by multiple tax jurisdictions throughout the world. We recognize the tax benefit of an uncertain tax position only if it is more likely than not the position is sustainable upon examination by the taxing authority. We measure the tax benefit recognized as the largest amount of benefit which is more likely than not to be realized upon settlement with the taxing authority. We recognize penalties and interest related to unrecognized tax benefits as income tax expense.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calculate the current and deferred income tax provision based on estimates and assumptions that could differ from the actual results reflected in income tax returns filed in subsequent years and record adjustments based on filed income tax returns when identified. The amount of income taxes paid is subject to examination by U.S. federal, state, and foreign tax authorities. The estimate of the potential outcome of any uncertain tax issue is subject to our assessment of relevant risks, facts, and circumstances existing at that time. To the extent the assessment of such tax position changes, we record the change in estimate in the period in which we make that determination.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Foreign Currency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operations located outside of the United States where the local currency is the functional currency are translated into U.S. dollars using the current rate method. Results of operations are translated at the average rate of exchange for the period. Assets and liabilities are translated at the closing rates on the balance sheet date. Gains and losses on translation of these accounts are accumulated and reported as a separate component of stockholders’ equity (deficit) and other comprehensive loss.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Gains and losses on foreign currency transactions are recognized in the accompanying consolidated statements of operations as a component of ‘Other (income) expense, net’. Gains and losses from transactions denominated in foreign currencies resulted in net transaction gains of $19.8 million, net transaction losses of $16.8 million, and net transaction gains of $8.7 million for the years ended December 31, 2025, 2024, and 2023,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Research and Development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Research and development expenses include payroll, employee benefits, and other headcount-related costs associated with product development. Our product utilizes a common codebase, whether accessed by customers via the cloud or via an on-premises installation. Since our software is sold and licensed externally, we consider our software as external-use software for purposes of applying the capitalized software development guidance. Product development costs are expensed as incurred until technological feasibility has been established, which is defined as the completion of all planning, designing, coding, and testing activities necessary to establish products that meet design specifications including functions, features, and technical performance requirements. We have determined technological feasibility for our software products is reached shortly before they are released for sale. Costs incurred after technological feasibility is established are not significant, and accordingly we expense all research and development costs when incurred.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Severance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Severance costs related to benefits provided in accordance with mutually understood and ongoing agreements are recognized when an obligation has been incurred, it is probable the benefits will be paid, and the amount to be paid can be reasonably estimated. No severance costs were incurred related to an involuntary reduction in our workforce for the year ended December 31, 2025. Severance costs totaled $5.5 million and $6.3 million for the years ended December 31, 2024 and 2023,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Advertising Expenses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expense advertising costs as they are incurred. Advertising expenses were $4.4 million, $3.9 million, and $4.2 million for the years ended December 31, 2025, 2024, and 2023,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Treasury Stock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53670"/>
                <wp:effectExtent l="0" t="0" r="0" b="0"/>
                <wp:wrapNone/>
                <wp:docPr id="81" name="Frame7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79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account for treasury stock under the cost method. We reissue treasury stock to satisfy employee stock option exercises and the vesting of restricted stock units as well as for issuances of common stock to our Board of Directors. Because we are in an accumulated deficit position, all reissuances of treasury stock were recorded as a decrease to additional-paid-in-capital in our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Recent Accounting Pronouncements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December 2023, the FASB issued ASU 2023-09, Income Tax (Topic 740): Improvement to Income Tax Disclosures, which requires public companies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ASU only impacted our disclosures with no impact to our results of operations, cash flows, and financial condition. Refer to Note 9 for our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Not Yet Adopted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November 2024, the FASB issued ASU 2024-03, Income Statement - Reporting Comprehensive Income - Expense Disaggregation Disclosures (Subtopic 220-40): Disaggregation of Income Statement Expenses, which requires more detailed disclosures of certain categories of expenses such as employee compensation, depreciation, and intangible asset amortization that are components of existing expense captions presented on the face of the income statement. The new guidance will be effective beginning with our annual reporting for fiscal year 2027 and for interim period reporting beginning in fiscal year 2028. Companies have the option to apply the guidance either on a retrospective or prospective basis, and early adoption is permitted. We are currently evaluating the impact this standard will have on our financial statement presentation and disclosures.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July 2025, the FASB issued ASU 2025-05, Financial Instruments-Credit Losses (Topic 326): Measurement of Credit Losses for Accounts Receivable and Contract Assets, which provides a practical expedient allowing companies to assume the conditions at the balance sheet date remain unchanged over the life of the asset when estimating expected credit losses for current classified accounts receivable and contract assets. The new guidance will be effective for our annual and interim period reporting beginning in fiscal year 2026 on a prospective basis. We are currently evaluating the impact this standard will have on our financial statement presentation and disclosures.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September 2025, the FASB issued ASU 2025-06, Targeted Improvements to the Accounting for Internal-Use Software (Subtopic 350-40), which, among other changes, replaces the stage-based capitalization model with a principles-based model clarifying capitalization is to begin when (i) management has authorized and committed to funding a software project and (ii) it is probable the project will be completed and the software will be used to perform the function intended. The new guidance will be effective for our annual and interim period reporting beginning in fiscal year 2028 and can be applied prospectively, retrospectively, or via a modified transition approach. Early adoption is permitted. We are currently evaluating the impact this standard will have on our financial statement presentation and disclosures.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December 2025, the FASB issued ASU 2025-11, Interim Reporting (Topic 270) Narrow-Scope Improvements, which is intended to improve the navigability of the guidance in ASC 270 - Interim Reporting and clarify when it applies. Under the amendments, an entity is subject to ASC 270 if it provides interim financial statements and notes in accordance with GAAP. ASU 2025-11 also addresses the form and content of such financial statements, interim disclosure requirements, and establishes a principle under which we must disclose events since the end of the last annual reporting period that have a material impact on the entity. The new guidance will be effective for interim reporting periods within annual reporting periods beginning after December 15, 2027. Early adoption is permitted. We are currently evaluating the impact this standard will have on our financial statement presentation and disclosures.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53670"/>
                <wp:effectExtent l="0" t="0" r="0" b="0"/>
                <wp:wrapNone/>
                <wp:docPr id="82" name="Frame8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3. Revenue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Revenue Recognition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generate subscriptions revenue primarily through the sale of cloud subscriptions bundled with maintenance and support and hosting services, license subscriptions, and maintenance and support for license subscriptions. We generate professional services revenue from fees for our consulting services, including application development and deployment assistance as well as training related to our platform.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revenue recorded during the years ended December 31, 2025, 2024, and 2023 (in thousands):</w:t>
      </w:r>
    </w:p>
    <w:p>
      <w:pPr>
        <w:pStyle w:val="TextBody"/>
        <w:bidi w:val="0"/>
        <w:spacing w:before="0" w:after="0"/>
        <w:ind w:left="0" w:right="0" w:firstLine="360"/>
        <w:jc w:val="left"/>
        <w:rPr/>
      </w:pPr>
      <w:r>
        <w:rPr/>
      </w:r>
    </w:p>
    <w:tbl>
      <w:tblPr>
        <w:tblW w:w="6386" w:type="dxa"/>
        <w:jc w:val="left"/>
        <w:tblInd w:w="0" w:type="dxa"/>
        <w:tblLayout w:type="fixed"/>
        <w:tblCellMar>
          <w:top w:w="28" w:type="dxa"/>
          <w:left w:w="28" w:type="dxa"/>
          <w:bottom w:w="28" w:type="dxa"/>
          <w:right w:w="28" w:type="dxa"/>
        </w:tblCellMar>
      </w:tblPr>
      <w:tblGrid>
        <w:gridCol w:w="782"/>
        <w:gridCol w:w="688"/>
        <w:gridCol w:w="689"/>
        <w:gridCol w:w="211"/>
        <w:gridCol w:w="856"/>
        <w:gridCol w:w="109"/>
        <w:gridCol w:w="109"/>
        <w:gridCol w:w="109"/>
        <w:gridCol w:w="109"/>
        <w:gridCol w:w="211"/>
        <w:gridCol w:w="856"/>
        <w:gridCol w:w="109"/>
        <w:gridCol w:w="109"/>
        <w:gridCol w:w="109"/>
        <w:gridCol w:w="109"/>
        <w:gridCol w:w="211"/>
        <w:gridCol w:w="85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Cloud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368,030 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304,481 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License 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Maintenance and support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subscriptions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576,462 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490,568 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133,026 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726,937 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Performance Obligations and Timing of Revenue Recognition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We primarily sell products and services that fall into the categories discussed below. Each category contains one or more performance obligations that are either (1) capable of being distinct (i.e., the customer can benefit from the product or service on its own or together with readily available resources, including those purchased separately from us) and distinct within the context of the contract (i.e., separately identified from other promises in the contract) or (2) a series of distinct products or services that are substantially the same and have the same pattern of transfer to the customer. Our license subscriptions are delivered at a point in time while our cloud subscriptions, maintenance and support, and professional services are delivered over time.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Subscriptions Revenue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ahoma;sans-serif" w:hAnsi="Tahoma;sans-serif"/>
          <w:b w:val="false"/>
          <w:color w:val="000000"/>
          <w:sz w:val="20"/>
        </w:rPr>
      </w:pPr>
      <w:r>
        <w:rPr>
          <w:rFonts w:ascii="Tahoma;sans-serif" w:hAnsi="Tahoma;sans-serif"/>
          <w:b w:val="false"/>
          <w:color w:val="000000"/>
          <w:sz w:val="20"/>
        </w:rPr>
        <w:t xml:space="preserve">Subscriptions revenue is primarily related to (1) cloud subscriptions bundled with maintenance and support and hosting services and (2) license subscriptions, and (3) maintenance and support for license subscriptions. We generally charge subscription fees on a per-user basis or through non-user-based single application licenses. We bill customers and collect payment for subscriptions to our platform in advance on an annual, quarterly, or monthly basis. In certain instances, our customers have paid their entire contract up front.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Cloud Subscriptions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generate cloud-based subscriptions revenue primarily from the sales of subscriptions to access our cloud offering, together with related support services to our customers. We perform all required maintenance and support for our cloud offering, and the related revenue is reported as a component of cloud subscriptions revenue. Cloud subscriptions revenue is recognized on a ratable basis over the contract term beginning on the later of the date service is made available to the customer or the commencement of the contract term. Our cloud-based subscription contracts generally have a term of one to three years in length. We bill customers and collect payment for subscriptions to our platform in advance, and they are non-cancellable.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 xml:space="preserve">License Subscriptions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license subscriptions revenue is derived from customers with on-premises installations of our platform and customers with legacy perpetual licenses. The majority of our license contracts are one year in length. Although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53670"/>
                <wp:effectExtent l="0" t="0" r="0" b="0"/>
                <wp:wrapNone/>
                <wp:docPr id="83" name="Frame8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81</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license subscriptions are sold with maintenance and support, the software is fully functional at the beginning of the subscription and is considered a distinct performance obligation. If a cloud-based subscription includes the right for the customer to take possession of the license, the revenue is treated as a license. Revenue from license subscriptions is recognized when control of the software license has transferred to the customer, which is the later of delivery or commencement of the contract term.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Maintenance and Support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Maintenance and support for license subscriptions include both technical support and when-and-if-available upgrades, which are treated as a single performance obligation as they are considered a series of distinct services that are substantially the same and have the same duration and measure of progress. Revenue from maintenance and support is recognized ratably over the contract period, which is the period over which the customer has continuous access to maintenance and support.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Professional Services Revenue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Our professional services revenue is comprised of fees for consulting services, including application development and deployment assistance as well as training services related to our platform. Our professional services are considered distinct performance obligations when sold standalone or with other products.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Consulting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sell consulting services to assist customers in planning and executing the deployment of our software. Customers are not required to use consulting services to fully benefit from the software. Consulting services are regularly sold on a standalone basis and most often as either (1) under a fixed-fee arrangement or (2) on a time and materials basis. We also sell advisory services on a subscription basis to support customers or partners with their development and deployment. Consulting services contracts are considered separate performance obligations because they do not integrate with each other or with other products and services to deliver a combined output to the customer, do not modify or customize (or are not modified or customized by) each other or other products and services, and do not affect the customer's ability to use other consulting offerings or other products and services. Revenue under consulting contracts is recognized over time as services are delivered. Revenue from subscription-based consulting contracts is recognized ratably over the contract period. For time and materials-based consulting contracts, we have elected the practical expedient of recognizing revenue upon invoicing since the invoiced amount corresponds directly to the value of our service to date.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Training Services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We sell various training services to our customers. Training services are sold in the form of prepaid training credits that are redeemed based on a fixed rate per course. Training revenue is recognized when the associated training services are delivered.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shd w:fill="FFFFFF" w:val="clear"/>
        </w:rPr>
      </w:pPr>
      <w:r>
        <w:rPr>
          <w:rFonts w:ascii="Tahoma;sans-serif" w:hAnsi="Tahoma;sans-serif"/>
          <w:b/>
          <w:i/>
          <w:color w:val="000000"/>
          <w:sz w:val="20"/>
          <w:shd w:fill="FFFFFF" w:val="clear"/>
        </w:rPr>
        <w:t>Significant Judgments and Estimates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Determining the Transaction Price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transaction price is the total amount of consideration we expect to receive in exchange for the service offerings in a contract and may include both fixed and variable components. Variable consideration is included in the transaction price to the extent it is probable a significant reversal will not occur. The amount of variable consideration excluded from the transaction price for the years ended December 31, 2025, 2024, and 2023 was immaterial. Our estimates of variable consideration are also subject to subsequent true-up adjustments and may result in changes to transaction prices; however, such true-up adjustments are not expected to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53670"/>
                <wp:effectExtent l="0" t="0" r="0" b="0"/>
                <wp:wrapNone/>
                <wp:docPr id="84" name="Frame8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82</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Allocating the Transaction Price Based on Standalone Selling Prices (“SSP”)</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allocate the transaction price to each performance obligation in a contract based on its relative SSP. The SSP is the observable price at which we sell the product or service separately. In the absence of observable pricing, we estimate SSP using the residual approach. We establish SSP as follows: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1.</w:t>
      </w:r>
      <w:r>
        <w:rPr>
          <w:rFonts w:ascii="Tahoma;sans-serif" w:hAnsi="Tahoma;sans-serif"/>
          <w:b w:val="false"/>
          <w:color w:val="000000"/>
          <w:sz w:val="20"/>
        </w:rPr>
        <w:t>Cloud subscriptions - Given the highly variable selling price of our cloud subscriptions and the related maintenance and support, we establish the SSP using a residual approach after first determining the SSP of consulting and training services. We have concluded the residual approach to estimating the SSP of our cloud subscriptions is an appropriate allocation of the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2.</w:t>
      </w:r>
      <w:r>
        <w:rPr>
          <w:rFonts w:ascii="Tahoma;sans-serif" w:hAnsi="Tahoma;sans-serif"/>
          <w:b w:val="false"/>
          <w:color w:val="000000"/>
          <w:sz w:val="20"/>
        </w:rPr>
        <w:t>License subscriptions - Given the highly variable selling price of our license subscriptions, we have established the SSP of license subscriptions using a residual approach after first determining the SSP of the related maintenance and support. Maintenance and support for license subscriptions is sold on a standalone basis in conjunction with renewals of our legacy perpetual software licenses and within a narrow range of the net license fee. Because an economic relationship exists between the license and maintenance and support, we have concluded the residual approach to estimating the SSP of license subscriptions is an appropriate allocation of the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3.</w:t>
      </w:r>
      <w:r>
        <w:rPr>
          <w:rFonts w:ascii="Tahoma;sans-serif" w:hAnsi="Tahoma;sans-serif"/>
          <w:b w:val="false"/>
          <w:color w:val="000000"/>
          <w:sz w:val="20"/>
        </w:rPr>
        <w:t xml:space="preserve">Maintenance and support - We establish the SSP of maintenance and support for license subscriptions as a percentage of the stated net subscription fee based on observable pricing of maintenance and support renewals from our legacy perpetual software licenses.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4.</w:t>
      </w:r>
      <w:r>
        <w:rPr>
          <w:rFonts w:ascii="Tahoma;sans-serif" w:hAnsi="Tahoma;sans-serif"/>
          <w:b w:val="false"/>
          <w:color w:val="000000"/>
          <w:sz w:val="20"/>
        </w:rPr>
        <w:t xml:space="preserve">Consulting and training services - The SSP of consulting and training services is established based on the observable pricing of standalone sales within each geographic region where the services are sold. </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Contract Balances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Timing may differ between the satisfaction of performance obligations and the invoicing and collection of amounts related to our contracts with customers. Contract assets primarily relate to unbilled amounts for contracts with customers for which the amount of revenue recognized exceeds the amount billed to the customer. Contract assets are transferred to accounts receivable when the right to invoice becomes unconditional. Contract liabilities consist of deferred revenue and include payments received in advance of the satisfaction of performance obligations. Deferred revenue is then recognized as the revenue recognition criteria are met. Deferred revenue that will be recognized during the succeeding 12-month period is recorded as current, and the remaining deferred revenue is recorded as non-current.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contract asset and contract liability balances as of December 31, 2025, 2024, and 2023 (in thousands):</w:t>
      </w:r>
    </w:p>
    <w:p>
      <w:pPr>
        <w:pStyle w:val="TextBody"/>
        <w:bidi w:val="0"/>
        <w:spacing w:before="0" w:after="0"/>
        <w:ind w:left="0" w:right="0" w:firstLine="360"/>
        <w:jc w:val="left"/>
        <w:rPr/>
      </w:pPr>
      <w:r>
        <w:rPr/>
      </w:r>
    </w:p>
    <w:tbl>
      <w:tblPr>
        <w:tblW w:w="6776" w:type="dxa"/>
        <w:jc w:val="left"/>
        <w:tblInd w:w="0" w:type="dxa"/>
        <w:tblLayout w:type="fixed"/>
        <w:tblCellMar>
          <w:top w:w="28" w:type="dxa"/>
          <w:left w:w="28" w:type="dxa"/>
          <w:bottom w:w="28" w:type="dxa"/>
          <w:right w:w="28" w:type="dxa"/>
        </w:tblCellMar>
      </w:tblPr>
      <w:tblGrid>
        <w:gridCol w:w="923"/>
        <w:gridCol w:w="810"/>
        <w:gridCol w:w="816"/>
        <w:gridCol w:w="211"/>
        <w:gridCol w:w="856"/>
        <w:gridCol w:w="109"/>
        <w:gridCol w:w="109"/>
        <w:gridCol w:w="109"/>
        <w:gridCol w:w="109"/>
        <w:gridCol w:w="211"/>
        <w:gridCol w:w="856"/>
        <w:gridCol w:w="109"/>
        <w:gridCol w:w="109"/>
        <w:gridCol w:w="109"/>
        <w:gridCol w:w="109"/>
        <w:gridCol w:w="211"/>
        <w:gridCol w:w="85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Contract assets, current</w:t>
            </w:r>
            <w:r>
              <w:rPr>
                <w:rFonts w:ascii="Tahoma;sans-serif" w:hAnsi="Tahoma;sans-serif"/>
                <w:b w:val="false"/>
                <w:color w:val="000000"/>
                <w:sz w:val="12"/>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Contract assets, non-current</w:t>
            </w:r>
            <w:r>
              <w:rPr>
                <w:rFonts w:ascii="Tahoma;sans-serif" w:hAnsi="Tahoma;sans-serif"/>
                <w:b w:val="false"/>
                <w:color w:val="000000"/>
                <w:sz w:val="12"/>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Deferred revenue,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341,281 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281,760 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235,992 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Deferred revenue,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350,243 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287,237 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ahoma;sans-serif" w:hAnsi="Tahoma;sans-serif"/>
          <w:b w:val="false"/>
          <w:color w:val="000000"/>
          <w:sz w:val="10"/>
        </w:rPr>
        <w:t>*</w:t>
      </w:r>
      <w:r>
        <w:rPr>
          <w:color w:val="000000"/>
        </w:rPr>
        <w:t xml:space="preserve"> </w:t>
      </w:r>
      <w:r>
        <w:rPr>
          <w:rFonts w:ascii="Tahoma;sans-serif" w:hAnsi="Tahoma;sans-serif"/>
          <w:b w:val="false"/>
          <w:color w:val="000000"/>
          <w:sz w:val="16"/>
        </w:rPr>
        <w:t>Current and non-current contract assets are reported as components of the ‘Prepaid expenses and other current assets’ and ‘Other assets’ line items, respectively, in our consolidated balance sheets.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53670"/>
                <wp:effectExtent l="0" t="0" r="0" b="0"/>
                <wp:wrapNone/>
                <wp:docPr id="85" name="Frame8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83</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Revenue recognized from amounts included in contract liabilities at the beginning of the period totaled $281.7 million, $234.5 million, and $196.5 million for the years ended December 31, 2025, 2024, and 2023, respectively.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Transaction Price Allocated to the Remaining Performance Obligations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we had an aggregate transaction price of $661.8 million allocated to unsatisfied performance obligations. We expect to recognize $446.7 million of this balance as revenue over the next 12 months with the remaining amount recognized thereafter.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4. Leases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our lease portfolio consists entirely of operating leases for corporate offices. Our operating leases have remaining lease terms with various expiration dates through 2031, and some leases include options to extend the term for up to an additional 10 years.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Right-of-Use (“ROU”) Assets and Lease Liabilities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At the inception of an arrangement, we determine whether the arrangement is or contains a lease based on the unique facts and circumstances present and the classification of the lease. Operating leases with a term greater than one year are recognized on the consolidated balance sheets as ROU assets, lease liabilities, and long-term lease liabilities. ROU assets represent our right to use an underlying asset for the lease term, and lease liabilities represent our obligation to make lease payments arising from the lease. We have elected not to recognize on our consolidated balance sheets leases with a term of one year or less.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Lease liabilities and their corresponding ROU assets are recorded based on the present value of lease payments over the expected lease term. The implicit rates within most of our leases are generally not determinable; therefore, we estimate our incremental borrowing rate to determine the present value of lease payments. The determination of our incremental borrowing rate requires judgment and is estimated for each lease based on the rate we would have to pay for a collateralized loan with the same terms as the lease. We consider various factors, including our level of collateralization, estimated credit rating, and the currency in which the lease is denominated. Operating lease ROU assets also include any lease prepayments, offset by lease incentives. Certain of our leases include options to extend or terminate the lease. An option to extend the lease is considered in connection with determining the ROU asset and lease liability when it is reasonably certain we will exercise that option.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Lease Costs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Expense for operating leases is recognized on a straight-line basis over the lease term as an operating expense. We have lease agreements which require payments for lease and non-lease components (i.e., common area maintenance) that are accounted for as a single lease component. Variable lease payment amounts that cannot be determined at the commencement of the lease such as maintenance costs, utilities, and service charges are not included in ROU assets or operating lease liabilities but rather are expensed as incurred and recorded as variable lease expense. We often receive customary incentives from our landlords such as tenant improvement allowances (“TIAs”) and rent abatement periods, which effectively reduce total lease payments owed for the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53670"/>
                <wp:effectExtent l="0" t="0" r="0" b="0"/>
                <wp:wrapNone/>
                <wp:docPr id="86" name="Frame8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sets forth the components of lease expense for the years ended December 31, 2025, 2024, and 2023 (in thousands, exclusive of sublease income):</w:t>
      </w:r>
    </w:p>
    <w:p>
      <w:pPr>
        <w:pStyle w:val="TextBody"/>
        <w:bidi w:val="0"/>
        <w:spacing w:before="0" w:after="0"/>
        <w:ind w:left="0" w:right="0" w:firstLine="360"/>
        <w:jc w:val="left"/>
        <w:rPr/>
      </w:pPr>
      <w:r>
        <w:rPr/>
      </w:r>
    </w:p>
    <w:tbl>
      <w:tblPr>
        <w:tblW w:w="5726" w:type="dxa"/>
        <w:jc w:val="left"/>
        <w:tblInd w:w="0" w:type="dxa"/>
        <w:tblLayout w:type="fixed"/>
        <w:tblCellMar>
          <w:top w:w="28" w:type="dxa"/>
          <w:left w:w="28" w:type="dxa"/>
          <w:bottom w:w="28" w:type="dxa"/>
          <w:right w:w="28" w:type="dxa"/>
        </w:tblCellMar>
      </w:tblPr>
      <w:tblGrid>
        <w:gridCol w:w="656"/>
        <w:gridCol w:w="578"/>
        <w:gridCol w:w="580"/>
        <w:gridCol w:w="211"/>
        <w:gridCol w:w="751"/>
        <w:gridCol w:w="109"/>
        <w:gridCol w:w="109"/>
        <w:gridCol w:w="109"/>
        <w:gridCol w:w="109"/>
        <w:gridCol w:w="211"/>
        <w:gridCol w:w="751"/>
        <w:gridCol w:w="109"/>
        <w:gridCol w:w="109"/>
        <w:gridCol w:w="109"/>
        <w:gridCol w:w="109"/>
        <w:gridCol w:w="211"/>
        <w:gridCol w:w="751"/>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9,056 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Short-term lease cost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Variable lease cost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14,730 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Sublease income totaled $1.2 million, $1.3 million, and $1.3 million for the years ended December 31, 2025, 2024, and 2023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 xml:space="preserve">Lease Impairment Charges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2024, we initiated actions to reduce the footprint of our leased office spaces. For the year ended December 31, 2024, we recorded non-cash lease impairment charges of $5.5 million within general and administrative expenses in our consolidated statements of operations related to two separate floors within our corporate headquarters facility. The non-cash lease impairment charges represented the amount the carrying value of the two asset groups exceeded their estimated fair values. The fair values of the two asset groups were measured using discounted cash flow models based on market rents and sublease incomes projected over the remaining lease terms.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During the year ended December 31, 2025, we recognized an incremental $0.8 million lease impairment charge related to one of the floors within our corporate headquarters that we ceased use of during 2024. The impairment charge represents the amount the carrying value of the underlying asset exceeded its estimated fair value, which was determined by utilizing a discounted cash flow approach that incorporated lower than previously expected sublease income assumptions based on current market conditions.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 impairment charges were incurred during the year ended December 31, 2023.</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Supplemental Lease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Supplemental balance sheet information related to operating leases as of December 31, 2025 and 2024 is presented in the following table (in thousands, except for lease term and discount rate):</w:t>
      </w:r>
    </w:p>
    <w:p>
      <w:pPr>
        <w:pStyle w:val="TextBody"/>
        <w:bidi w:val="0"/>
        <w:spacing w:before="0" w:after="0"/>
        <w:ind w:left="0" w:right="0" w:firstLine="360"/>
        <w:jc w:val="left"/>
        <w:rPr/>
      </w:pPr>
      <w:r>
        <w:rPr/>
      </w:r>
    </w:p>
    <w:tbl>
      <w:tblPr>
        <w:tblW w:w="6395" w:type="dxa"/>
        <w:jc w:val="left"/>
        <w:tblInd w:w="0" w:type="dxa"/>
        <w:tblLayout w:type="fixed"/>
        <w:tblCellMar>
          <w:top w:w="28" w:type="dxa"/>
          <w:left w:w="28" w:type="dxa"/>
          <w:bottom w:w="28" w:type="dxa"/>
          <w:right w:w="28" w:type="dxa"/>
        </w:tblCellMar>
      </w:tblPr>
      <w:tblGrid>
        <w:gridCol w:w="1489"/>
        <w:gridCol w:w="1308"/>
        <w:gridCol w:w="1312"/>
        <w:gridCol w:w="231"/>
        <w:gridCol w:w="207"/>
        <w:gridCol w:w="501"/>
        <w:gridCol w:w="119"/>
        <w:gridCol w:w="119"/>
        <w:gridCol w:w="119"/>
        <w:gridCol w:w="234"/>
        <w:gridCol w:w="202"/>
        <w:gridCol w:w="5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Right-of-use assets for operating leases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28,075</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31,081</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liabilities, current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13,181</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12,378</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lease liabilities, net of current portion</w:t>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45,693</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52,189</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operating lease liabilities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58,874</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64,567</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remaining lease term (in years)</w:t>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w:t>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Weighted average discount rate</w:t>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9.4 </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53670"/>
                <wp:effectExtent l="0" t="0" r="0" b="0"/>
                <wp:wrapNone/>
                <wp:docPr id="87" name="Frame8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Supplemental cash flow and expense information related to operating leases for the years ended December 31, 2025, 2024, and 2023 is shown below (in thousands):</w:t>
      </w:r>
    </w:p>
    <w:p>
      <w:pPr>
        <w:pStyle w:val="TextBody"/>
        <w:bidi w:val="0"/>
        <w:spacing w:before="0" w:after="0"/>
        <w:ind w:left="0" w:right="0" w:firstLine="360"/>
        <w:jc w:val="left"/>
        <w:rPr/>
      </w:pPr>
      <w:r>
        <w:rPr/>
      </w:r>
    </w:p>
    <w:tbl>
      <w:tblPr>
        <w:tblW w:w="7527" w:type="dxa"/>
        <w:jc w:val="left"/>
        <w:tblInd w:w="0" w:type="dxa"/>
        <w:tblLayout w:type="fixed"/>
        <w:tblCellMar>
          <w:top w:w="28" w:type="dxa"/>
          <w:left w:w="28" w:type="dxa"/>
          <w:bottom w:w="28" w:type="dxa"/>
          <w:right w:w="28" w:type="dxa"/>
        </w:tblCellMar>
      </w:tblPr>
      <w:tblGrid>
        <w:gridCol w:w="1346"/>
        <w:gridCol w:w="1185"/>
        <w:gridCol w:w="1189"/>
        <w:gridCol w:w="211"/>
        <w:gridCol w:w="751"/>
        <w:gridCol w:w="109"/>
        <w:gridCol w:w="109"/>
        <w:gridCol w:w="109"/>
        <w:gridCol w:w="109"/>
        <w:gridCol w:w="211"/>
        <w:gridCol w:w="751"/>
        <w:gridCol w:w="109"/>
        <w:gridCol w:w="109"/>
        <w:gridCol w:w="109"/>
        <w:gridCol w:w="109"/>
        <w:gridCol w:w="211"/>
        <w:gridCol w:w="646"/>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cash outflows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Amortization of operating lease ROU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Interest expense on operating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No tenant improvement allowance reimbursements were received during the years ended December 31, 2025 and 2024. For the year ended December 31, 2023, TIA reimbursements totaled $2.6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 summary of our future minimum lease commitments under non-cancellable operating leases as of December 31, 2025 is shown below (in thousands): </w:t>
      </w:r>
    </w:p>
    <w:p>
      <w:pPr>
        <w:pStyle w:val="TextBody"/>
        <w:bidi w:val="0"/>
        <w:spacing w:before="0" w:after="0"/>
        <w:ind w:left="0" w:right="0" w:firstLine="360"/>
        <w:jc w:val="left"/>
        <w:rPr/>
      </w:pPr>
      <w:r>
        <w:rPr/>
      </w:r>
    </w:p>
    <w:tbl>
      <w:tblPr>
        <w:tblW w:w="4341" w:type="dxa"/>
        <w:jc w:val="left"/>
        <w:tblInd w:w="0" w:type="dxa"/>
        <w:tblLayout w:type="fixed"/>
        <w:tblCellMar>
          <w:top w:w="28" w:type="dxa"/>
          <w:left w:w="28" w:type="dxa"/>
          <w:bottom w:w="28" w:type="dxa"/>
          <w:right w:w="28" w:type="dxa"/>
        </w:tblCellMar>
      </w:tblPr>
      <w:tblGrid>
        <w:gridCol w:w="678"/>
        <w:gridCol w:w="594"/>
        <w:gridCol w:w="602"/>
        <w:gridCol w:w="434"/>
        <w:gridCol w:w="1546"/>
        <w:gridCol w:w="224"/>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13,808 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13,996 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2028</w:t>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12,871 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2029</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12,411 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2030</w:t>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12,364 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Thereafter</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lease payments</w:t>
            </w:r>
          </w:p>
        </w:tc>
        <w:tc>
          <w:tcPr>
            <w:tcW w:w="1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75,993 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imputed interest</w:t>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(17,119)</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58,874 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5. Goodwill and Intangible Assets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details the changes in goodwill during the fiscal years ended December 31, 2025 and 2024 (in thousands):</w:t>
      </w:r>
    </w:p>
    <w:p>
      <w:pPr>
        <w:pStyle w:val="TextBody"/>
        <w:bidi w:val="0"/>
        <w:spacing w:before="0" w:after="0"/>
        <w:jc w:val="left"/>
        <w:rPr/>
      </w:pPr>
      <w:r>
        <w:rPr/>
      </w:r>
    </w:p>
    <w:tbl>
      <w:tblPr>
        <w:tblW w:w="4890" w:type="dxa"/>
        <w:jc w:val="left"/>
        <w:tblInd w:w="0" w:type="dxa"/>
        <w:tblLayout w:type="fixed"/>
        <w:tblCellMar>
          <w:top w:w="28" w:type="dxa"/>
          <w:left w:w="28" w:type="dxa"/>
          <w:bottom w:w="28" w:type="dxa"/>
          <w:right w:w="28" w:type="dxa"/>
        </w:tblCellMar>
      </w:tblPr>
      <w:tblGrid>
        <w:gridCol w:w="1227"/>
        <w:gridCol w:w="1080"/>
        <w:gridCol w:w="1083"/>
        <w:gridCol w:w="283"/>
        <w:gridCol w:w="1010"/>
        <w:gridCol w:w="207"/>
      </w:tblGrid>
      <w:tr>
        <w:trPr/>
        <w:tc>
          <w:tcPr>
            <w:tcW w:w="122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Carrying Amount</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2023</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27,106 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(1,551)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2024</w:t>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25,555 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2025</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28,811 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53670"/>
                <wp:effectExtent l="0" t="0" r="0" b="0"/>
                <wp:wrapNone/>
                <wp:docPr id="88" name="Frame8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86</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Intangible assets, net consisted of the following as of December 31, 2025 and 2024 (in thousands):</w:t>
      </w:r>
    </w:p>
    <w:p>
      <w:pPr>
        <w:pStyle w:val="TextBody"/>
        <w:bidi w:val="0"/>
        <w:spacing w:before="0" w:after="0"/>
        <w:ind w:left="0" w:right="0" w:firstLine="360"/>
        <w:jc w:val="left"/>
        <w:rPr/>
      </w:pPr>
      <w:r>
        <w:rPr/>
      </w:r>
    </w:p>
    <w:tbl>
      <w:tblPr>
        <w:tblW w:w="4944" w:type="dxa"/>
        <w:jc w:val="left"/>
        <w:tblInd w:w="0" w:type="dxa"/>
        <w:tblLayout w:type="fixed"/>
        <w:tblCellMar>
          <w:top w:w="28" w:type="dxa"/>
          <w:left w:w="28" w:type="dxa"/>
          <w:bottom w:w="28" w:type="dxa"/>
          <w:right w:w="28" w:type="dxa"/>
        </w:tblCellMar>
      </w:tblPr>
      <w:tblGrid>
        <w:gridCol w:w="957"/>
        <w:gridCol w:w="840"/>
        <w:gridCol w:w="843"/>
        <w:gridCol w:w="211"/>
        <w:gridCol w:w="646"/>
        <w:gridCol w:w="109"/>
        <w:gridCol w:w="109"/>
        <w:gridCol w:w="109"/>
        <w:gridCol w:w="109"/>
        <w:gridCol w:w="211"/>
        <w:gridCol w:w="64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Customer relationships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 gross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Less: accumulated amortization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Intangible amortization expense was $1.2 million for the year ended December 31, 2025 and $1.5 million for each of the years ended December 31, 2024 and 2023. As of December 31, 2025, the weighted average remaining amortization periods for developed technology and customer relationships were approximately 0.7 years and 5.3 years, respectively.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shows the projected annual amortization expense related to amortizable intangible assets as of December 31, 2025 (in thousands):</w:t>
      </w:r>
    </w:p>
    <w:p>
      <w:pPr>
        <w:pStyle w:val="TextBody"/>
        <w:bidi w:val="0"/>
        <w:spacing w:before="0" w:after="0"/>
        <w:ind w:left="0" w:right="0" w:firstLine="360"/>
        <w:jc w:val="left"/>
        <w:rPr/>
      </w:pPr>
      <w:r>
        <w:rPr/>
      </w:r>
    </w:p>
    <w:tbl>
      <w:tblPr>
        <w:tblW w:w="5339" w:type="dxa"/>
        <w:jc w:val="left"/>
        <w:tblInd w:w="0" w:type="dxa"/>
        <w:tblLayout w:type="fixed"/>
        <w:tblCellMar>
          <w:top w:w="28" w:type="dxa"/>
          <w:left w:w="28" w:type="dxa"/>
          <w:bottom w:w="28" w:type="dxa"/>
          <w:right w:w="28" w:type="dxa"/>
        </w:tblCellMar>
      </w:tblPr>
      <w:tblGrid>
        <w:gridCol w:w="1118"/>
        <w:gridCol w:w="979"/>
        <w:gridCol w:w="993"/>
        <w:gridCol w:w="469"/>
        <w:gridCol w:w="1438"/>
        <w:gridCol w:w="342"/>
      </w:tblGrid>
      <w:tr>
        <w:trPr/>
        <w:tc>
          <w:tcPr>
            <w:tcW w:w="1118"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823 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2027</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2028</w:t>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2029</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101 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2030</w:t>
            </w:r>
          </w:p>
        </w:tc>
        <w:tc>
          <w:tcPr>
            <w:tcW w:w="1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Thereafter</w:t>
            </w:r>
          </w:p>
        </w:tc>
        <w:tc>
          <w:tcPr>
            <w:tcW w:w="1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projected amortization expense</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1,246 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6. Property and Equipment, net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Property and equipment, net consisted of the following as of December 31, 2025 and 2024 (in thousands):</w:t>
      </w:r>
    </w:p>
    <w:p>
      <w:pPr>
        <w:pStyle w:val="TextBody"/>
        <w:bidi w:val="0"/>
        <w:spacing w:before="0" w:after="0"/>
        <w:ind w:left="0" w:right="0" w:firstLine="360"/>
        <w:jc w:val="left"/>
        <w:rPr/>
      </w:pPr>
      <w:r>
        <w:rPr/>
      </w:r>
    </w:p>
    <w:tbl>
      <w:tblPr>
        <w:tblW w:w="5304" w:type="dxa"/>
        <w:jc w:val="left"/>
        <w:tblInd w:w="0" w:type="dxa"/>
        <w:tblLayout w:type="fixed"/>
        <w:tblCellMar>
          <w:top w:w="28" w:type="dxa"/>
          <w:left w:w="28" w:type="dxa"/>
          <w:bottom w:w="28" w:type="dxa"/>
          <w:right w:w="28" w:type="dxa"/>
        </w:tblCellMar>
      </w:tblPr>
      <w:tblGrid>
        <w:gridCol w:w="1010"/>
        <w:gridCol w:w="888"/>
        <w:gridCol w:w="892"/>
        <w:gridCol w:w="211"/>
        <w:gridCol w:w="751"/>
        <w:gridCol w:w="109"/>
        <w:gridCol w:w="109"/>
        <w:gridCol w:w="109"/>
        <w:gridCol w:w="109"/>
        <w:gridCol w:w="211"/>
        <w:gridCol w:w="751"/>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Office furniture and fixtures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Computer software and hardware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Internally developed software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Work in process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gross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Accumulated 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37,109 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Depreciation expense totaled $8.5 million, $8.5 million, and $8.0 million for the years ended December 31, 2025, 2024, and 2023, respectively. We had no disposals or retirements during the year ended December 31, 2025. We disposed of $1.3 million and $1.4 million worth of fully depreciated property and equipment during the years ended December 31, 2024 and 2023,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53670"/>
                <wp:effectExtent l="0" t="0" r="0" b="0"/>
                <wp:wrapNone/>
                <wp:docPr id="89" name="Frame8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7. Accrued Expenses</w: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Accrued expenses consisted of the following as of December 31, 2025 and 2024 (in thousands):</w:t>
      </w:r>
    </w:p>
    <w:p>
      <w:pPr>
        <w:pStyle w:val="TextBody"/>
        <w:bidi w:val="0"/>
        <w:spacing w:before="0" w:after="0"/>
        <w:jc w:val="left"/>
        <w:rPr/>
      </w:pPr>
      <w:r>
        <w:rPr/>
      </w:r>
    </w:p>
    <w:tbl>
      <w:tblPr>
        <w:tblW w:w="5439" w:type="dxa"/>
        <w:jc w:val="center"/>
        <w:tblInd w:w="0" w:type="dxa"/>
        <w:tblLayout w:type="fixed"/>
        <w:tblCellMar>
          <w:top w:w="28" w:type="dxa"/>
          <w:left w:w="28" w:type="dxa"/>
          <w:bottom w:w="28" w:type="dxa"/>
          <w:right w:w="28" w:type="dxa"/>
        </w:tblCellMar>
      </w:tblPr>
      <w:tblGrid>
        <w:gridCol w:w="1057"/>
        <w:gridCol w:w="930"/>
        <w:gridCol w:w="938"/>
        <w:gridCol w:w="211"/>
        <w:gridCol w:w="751"/>
        <w:gridCol w:w="109"/>
        <w:gridCol w:w="109"/>
        <w:gridCol w:w="109"/>
        <w:gridCol w:w="109"/>
        <w:gridCol w:w="211"/>
        <w:gridCol w:w="75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Hosting costs and license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Contract labor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Taxes payable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Audit and tax services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Legal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Reimbursable employee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Marketing and tradeshow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Capital expenditures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accrued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18,483 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8. Debt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i/>
          <w:color w:val="000000"/>
          <w:sz w:val="20"/>
        </w:rPr>
      </w:pPr>
      <w:r>
        <w:rPr>
          <w:rFonts w:ascii="Tahoma;sans-serif" w:hAnsi="Tahoma;sans-serif"/>
          <w:b w:val="false"/>
          <w:i/>
          <w:color w:val="000000"/>
          <w:sz w:val="20"/>
        </w:rPr>
        <w:t>Senior Secured Credit Facilities Credit Agreement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 Senior Secured Credit Facilities Credit Agreement (the “Credit Agreement”) which provides for a five-year term loan facility in an aggregate principal amount of $200.0 million and, in addition, up to $100.0 million for a revolving credit facility, including a letter of credit sub-facility in the aggregate availability amount of $20.0 million and a swingline sub-facility in the aggregate availability amount of $10.0 million (as a sublimit of the revolving loan facility). The Credit Agreement matures on November 3, 2027. We have been using the proceeds to fund the growth of our business and support our working capital requirements.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Under the agreement, we may elect whether amounts drawn bear interest on the outstanding principal amount at a rate per annum equal to either (a) the higher of the Prime rate or the Federal Funds Effective rate (“Base Rate”) plus 0.5% or (b) the forward-looking term rate based on the secured overnight financing rate (“Term SOFR”). An additional interest rate margin is added to the elected interest rate. During the first three years of the Credit Agreement, the additional interest rate margin ranges from 1.5% to 2.5% in the case of Base Rate advances or from 2.5% to 3.5% in the case of Term SOFR advances, depending on our debt to recurring revenue leverage ratio (as defined in the Credit Agreement). During the final two years of the Credit Agreement, the interest rate margin ranges from 0.5% to 2.5% in the case of Base Rate advances and from 1.5% to 3.5% in the case of Term SOFR advances, depending on our debt to consolidated adjusted EBITDA leverage ratio (as defined in the Credit Agreement).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addition, the Credit Agreement contains other customary representations, warranties, and covenants, including covenants by us limiting additional indebtedness, guarantees, liens, fundamental changes, mergers and consolidations, dispositions of assets, investments, paying dividends on capital stock or redeeming, repurchasing or retiring capital stock, prepaying certain junior indebtedness and preferred stock, certain corporate changes, and transactions with affiliates. The Credit Agreement also provides for customary events of default, including but not limited to, non-payment, breaches, or defaults in the performance of covenants, insolvency, bankruptcy, and the occurrence of a material adverse effect on us.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53670"/>
                <wp:effectExtent l="0" t="0" r="0" b="0"/>
                <wp:wrapNone/>
                <wp:docPr id="90" name="Frame8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88</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outstanding debt balances as of December 31, 2025 and 2024 (in thousands):</w:t>
      </w:r>
    </w:p>
    <w:p>
      <w:pPr>
        <w:pStyle w:val="TextBody"/>
        <w:bidi w:val="0"/>
        <w:spacing w:before="0" w:after="0"/>
        <w:ind w:left="0" w:right="0" w:firstLine="360"/>
        <w:jc w:val="left"/>
        <w:rPr/>
      </w:pPr>
      <w:r>
        <w:rPr/>
      </w:r>
    </w:p>
    <w:tbl>
      <w:tblPr>
        <w:tblW w:w="5928" w:type="dxa"/>
        <w:jc w:val="left"/>
        <w:tblInd w:w="0" w:type="dxa"/>
        <w:tblLayout w:type="fixed"/>
        <w:tblCellMar>
          <w:top w:w="28" w:type="dxa"/>
          <w:left w:w="28" w:type="dxa"/>
          <w:bottom w:w="28" w:type="dxa"/>
          <w:right w:w="28" w:type="dxa"/>
        </w:tblCellMar>
      </w:tblPr>
      <w:tblGrid>
        <w:gridCol w:w="1245"/>
        <w:gridCol w:w="1093"/>
        <w:gridCol w:w="1097"/>
        <w:gridCol w:w="211"/>
        <w:gridCol w:w="751"/>
        <w:gridCol w:w="109"/>
        <w:gridCol w:w="109"/>
        <w:gridCol w:w="109"/>
        <w:gridCol w:w="109"/>
        <w:gridCol w:w="254"/>
        <w:gridCol w:w="347"/>
        <w:gridCol w:w="49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Borrowings under revolving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62,000</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Secured term loan facility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179,563 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189,563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Less: Debt issuance costs</w:t>
            </w:r>
            <w:r>
              <w:rPr>
                <w:rFonts w:ascii="Tahoma;sans-serif" w:hAnsi="Tahoma;sans-serif"/>
                <w:b w:val="false"/>
                <w:color w:val="000000"/>
                <w:sz w:val="12"/>
              </w:rPr>
              <w:t>(1)</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(1,139)</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debt, net of debt issuance costs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250,424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Debt, 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9,598</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Long-term debt</w:t>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240,826</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240,826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250,424</w:t>
            </w:r>
          </w:p>
        </w:tc>
      </w:tr>
    </w:tbl>
    <w:p>
      <w:pPr>
        <w:pStyle w:val="TextBody"/>
        <w:bidi w:val="0"/>
        <w:spacing w:lineRule="auto" w:line="288" w:before="0" w:after="0"/>
        <w:jc w:val="left"/>
        <w:rPr/>
      </w:pPr>
      <w:r>
        <w:rPr>
          <w:rFonts w:ascii="Tahoma;sans-serif" w:hAnsi="Tahoma;sans-serif"/>
          <w:b w:val="false"/>
          <w:color w:val="000000"/>
          <w:sz w:val="10"/>
        </w:rPr>
        <w:t xml:space="preserve">(1) </w:t>
      </w:r>
      <w:r>
        <w:rPr>
          <w:rFonts w:ascii="Tahoma;sans-serif" w:hAnsi="Tahoma;sans-serif"/>
          <w:b w:val="false"/>
          <w:color w:val="000000"/>
          <w:sz w:val="16"/>
        </w:rPr>
        <w:t xml:space="preserve">Deferred debt issuance costs associated with the term loan facility are recorded net of the debt obligation and amortized to interest expense over the term of the Credit Agreement. </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following table summarizes the annual maturities of the principal amount of total debt due as of December 31, 2025 (in thousands): </w:t>
      </w:r>
    </w:p>
    <w:p>
      <w:pPr>
        <w:pStyle w:val="TextBody"/>
        <w:bidi w:val="0"/>
        <w:spacing w:before="0" w:after="0"/>
        <w:ind w:left="0" w:right="0" w:firstLine="360"/>
        <w:jc w:val="left"/>
        <w:rPr/>
      </w:pPr>
      <w:r>
        <w:rPr/>
      </w:r>
    </w:p>
    <w:tbl>
      <w:tblPr>
        <w:tblW w:w="2790" w:type="dxa"/>
        <w:jc w:val="left"/>
        <w:tblInd w:w="0" w:type="dxa"/>
        <w:tblLayout w:type="fixed"/>
        <w:tblCellMar>
          <w:top w:w="28" w:type="dxa"/>
          <w:left w:w="28" w:type="dxa"/>
          <w:bottom w:w="28" w:type="dxa"/>
          <w:right w:w="28" w:type="dxa"/>
        </w:tblCellMar>
      </w:tblPr>
      <w:tblGrid>
        <w:gridCol w:w="196"/>
        <w:gridCol w:w="172"/>
        <w:gridCol w:w="173"/>
        <w:gridCol w:w="388"/>
        <w:gridCol w:w="1578"/>
        <w:gridCol w:w="283"/>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2026</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10,000 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2027</w:t>
            </w:r>
          </w:p>
        </w:tc>
        <w:tc>
          <w:tcPr>
            <w:tcW w:w="1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231,563 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241,563 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2025, we were in compliance with all covenants contained in the Credit Agreement. In addition, we had $62.0 million outstanding under our $100.0 million revolving credit facility, and we had outstanding letters of credit totaling $14.7 million in connection with securing leased office spaces.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9. Income Taxes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For the years ended December 31, 2025, 2024, and 2023, our income (loss) before income taxes was comprised of the following (in thousands): </w:t>
      </w:r>
    </w:p>
    <w:p>
      <w:pPr>
        <w:pStyle w:val="TextBody"/>
        <w:bidi w:val="0"/>
        <w:spacing w:before="0" w:after="0"/>
        <w:ind w:left="0" w:right="0" w:firstLine="360"/>
        <w:jc w:val="left"/>
        <w:rPr/>
      </w:pPr>
      <w:r>
        <w:rPr/>
      </w:r>
    </w:p>
    <w:tbl>
      <w:tblPr>
        <w:tblW w:w="5143" w:type="dxa"/>
        <w:jc w:val="left"/>
        <w:tblInd w:w="0" w:type="dxa"/>
        <w:tblLayout w:type="fixed"/>
        <w:tblCellMar>
          <w:top w:w="28" w:type="dxa"/>
          <w:left w:w="28" w:type="dxa"/>
          <w:bottom w:w="28" w:type="dxa"/>
          <w:right w:w="28" w:type="dxa"/>
        </w:tblCellMar>
      </w:tblPr>
      <w:tblGrid>
        <w:gridCol w:w="310"/>
        <w:gridCol w:w="272"/>
        <w:gridCol w:w="274"/>
        <w:gridCol w:w="211"/>
        <w:gridCol w:w="841"/>
        <w:gridCol w:w="109"/>
        <w:gridCol w:w="109"/>
        <w:gridCol w:w="109"/>
        <w:gridCol w:w="109"/>
        <w:gridCol w:w="211"/>
        <w:gridCol w:w="841"/>
        <w:gridCol w:w="109"/>
        <w:gridCol w:w="109"/>
        <w:gridCol w:w="109"/>
        <w:gridCol w:w="109"/>
        <w:gridCol w:w="211"/>
        <w:gridCol w:w="946"/>
        <w:gridCol w:w="154"/>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(89,925)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(18,307)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(91,208)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(108,232)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53670"/>
                <wp:effectExtent l="0" t="0" r="0" b="0"/>
                <wp:wrapNone/>
                <wp:docPr id="91" name="Frame8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89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the years ended December 31, 2025, 2024, and 2023, our income tax expense was comprised of the following (in thousands):</w:t>
      </w:r>
    </w:p>
    <w:tbl>
      <w:tblPr>
        <w:tblW w:w="5771" w:type="dxa"/>
        <w:jc w:val="left"/>
        <w:tblInd w:w="0" w:type="dxa"/>
        <w:tblLayout w:type="fixed"/>
        <w:tblCellMar>
          <w:top w:w="28" w:type="dxa"/>
          <w:left w:w="28" w:type="dxa"/>
          <w:bottom w:w="28" w:type="dxa"/>
          <w:right w:w="28" w:type="dxa"/>
        </w:tblCellMar>
      </w:tblPr>
      <w:tblGrid>
        <w:gridCol w:w="802"/>
        <w:gridCol w:w="684"/>
        <w:gridCol w:w="688"/>
        <w:gridCol w:w="211"/>
        <w:gridCol w:w="646"/>
        <w:gridCol w:w="109"/>
        <w:gridCol w:w="109"/>
        <w:gridCol w:w="109"/>
        <w:gridCol w:w="109"/>
        <w:gridCol w:w="211"/>
        <w:gridCol w:w="646"/>
        <w:gridCol w:w="109"/>
        <w:gridCol w:w="109"/>
        <w:gridCol w:w="109"/>
        <w:gridCol w:w="109"/>
        <w:gridCol w:w="211"/>
        <w:gridCol w:w="646"/>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Current:</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current expense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4,780 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Federal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Foreign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benefit</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the year ended December 31, 2025, the provision for income taxes differs from the amount computed by applying the federal statutory income tax rates to our income before the provision for income taxes as follows:</w:t>
      </w:r>
    </w:p>
    <w:p>
      <w:pPr>
        <w:pStyle w:val="TextBody"/>
        <w:bidi w:val="0"/>
        <w:spacing w:before="0" w:after="0"/>
        <w:ind w:left="0" w:right="0" w:firstLine="360"/>
        <w:jc w:val="left"/>
        <w:rPr/>
      </w:pPr>
      <w:r>
        <w:rPr/>
      </w:r>
    </w:p>
    <w:tbl>
      <w:tblPr>
        <w:tblW w:w="7472" w:type="dxa"/>
        <w:jc w:val="left"/>
        <w:tblInd w:w="0" w:type="dxa"/>
        <w:tblLayout w:type="fixed"/>
        <w:tblCellMar>
          <w:top w:w="28" w:type="dxa"/>
          <w:left w:w="28" w:type="dxa"/>
          <w:bottom w:w="28" w:type="dxa"/>
          <w:right w:w="28" w:type="dxa"/>
        </w:tblCellMar>
      </w:tblPr>
      <w:tblGrid>
        <w:gridCol w:w="1606"/>
        <w:gridCol w:w="1414"/>
        <w:gridCol w:w="1419"/>
        <w:gridCol w:w="312"/>
        <w:gridCol w:w="957"/>
        <w:gridCol w:w="161"/>
        <w:gridCol w:w="161"/>
        <w:gridCol w:w="161"/>
        <w:gridCol w:w="161"/>
        <w:gridCol w:w="314"/>
        <w:gridCol w:w="316"/>
        <w:gridCol w:w="490"/>
      </w:tblGrid>
      <w:tr>
        <w:trPr/>
        <w:tc>
          <w:tcPr>
            <w:tcW w:w="16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Year Ended December 31, 2025</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 xml:space="preserve">Total </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U.S. federal statutory tax rate</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State income taxes, net of federal income tax effect</w:t>
            </w:r>
            <w:r>
              <w:rPr>
                <w:rFonts w:ascii="Tahoma;sans-serif" w:hAnsi="Tahoma;sans-serif"/>
                <w:b w:val="false"/>
                <w:color w:val="000000"/>
                <w:sz w:val="12"/>
              </w:rPr>
              <w:t>(1)</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Foreign tax effects</w:t>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Switzerland</w:t>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Statutory income tax rate differential</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(18.5)</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operating loss expiration</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33.9 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 xml:space="preserve">Unrealized currency translation gain </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29.1 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Changes in valuation allowances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(78.2)</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Other</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Other foreign jurisdictions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31.2 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Effect of cross-border tax laws</w:t>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Global intangible low-taxed income</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Other</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0.5 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Tax credits</w:t>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Research &amp; development tax credits</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(3,991)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(61.9)</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Changes in valuation allowances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92.1 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Non-taxable or Non-deductible Items</w:t>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Share-based compensation</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46.5 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Other</w:t>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14.5 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Changes to unrecognized tax benefits</w:t>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0.3 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Total tax provision and effective tax rate</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80.9 </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lineRule="auto" w:line="268" w:before="0" w:after="0"/>
        <w:jc w:val="left"/>
        <w:rPr/>
      </w:pPr>
      <w:r>
        <w:rPr>
          <w:rFonts w:ascii="Tahoma;sans-serif" w:hAnsi="Tahoma;sans-serif"/>
          <w:b w:val="false"/>
          <w:color w:val="000000"/>
          <w:sz w:val="9"/>
        </w:rPr>
        <w:t>(1)</w:t>
      </w:r>
      <w:r>
        <w:rPr>
          <w:color w:val="000000"/>
        </w:rPr>
        <w:t xml:space="preserve"> </w:t>
      </w:r>
      <w:r>
        <w:rPr>
          <w:rFonts w:ascii="Tahoma;sans-serif" w:hAnsi="Tahoma;sans-serif"/>
          <w:b w:val="false"/>
          <w:color w:val="000000"/>
          <w:sz w:val="14"/>
        </w:rPr>
        <w:t>State taxes in Texas primarily make up this category. The largest state by apportionment percentage is Virginia.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53670"/>
                <wp:effectExtent l="0" t="0" r="0" b="0"/>
                <wp:wrapNone/>
                <wp:docPr id="92" name="Frame9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the years ended December 31, 2024 and 2023, the provision for income taxes differs from the amount computed by applying the federal statutory income tax rates to our income before the provision for income taxes as follows:</w:t>
      </w:r>
    </w:p>
    <w:p>
      <w:pPr>
        <w:pStyle w:val="TextBody"/>
        <w:bidi w:val="0"/>
        <w:spacing w:before="0" w:after="0"/>
        <w:ind w:left="0" w:right="0" w:firstLine="360"/>
        <w:jc w:val="left"/>
        <w:rPr/>
      </w:pPr>
      <w:r>
        <w:rPr/>
      </w:r>
    </w:p>
    <w:tbl>
      <w:tblPr>
        <w:tblW w:w="5982" w:type="dxa"/>
        <w:jc w:val="left"/>
        <w:tblInd w:w="0" w:type="dxa"/>
        <w:tblLayout w:type="fixed"/>
        <w:tblCellMar>
          <w:top w:w="28" w:type="dxa"/>
          <w:left w:w="28" w:type="dxa"/>
          <w:bottom w:w="28" w:type="dxa"/>
          <w:right w:w="28" w:type="dxa"/>
        </w:tblCellMar>
      </w:tblPr>
      <w:tblGrid>
        <w:gridCol w:w="1075"/>
        <w:gridCol w:w="946"/>
        <w:gridCol w:w="949"/>
        <w:gridCol w:w="343"/>
        <w:gridCol w:w="287"/>
        <w:gridCol w:w="531"/>
        <w:gridCol w:w="202"/>
        <w:gridCol w:w="202"/>
        <w:gridCol w:w="202"/>
        <w:gridCol w:w="343"/>
        <w:gridCol w:w="287"/>
        <w:gridCol w:w="615"/>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Percentage of Pretax Earnings</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federal statutory tax rate</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State tax expense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Foreign rate differential</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Nondeductible expenses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Foreign tax expense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0.1 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(0.4)</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Equity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 credits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9.5 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Unrecognized tax benefits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Global intangible low-taxed income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Change in tax rate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0.8 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(0.9)</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Other</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(0.5)</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0.2 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Return to provision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Deferred adjustments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(1.4)</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Change in valuation allowance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(30.3)</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(25.2)</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Total</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2025 effective tax rate of 80.9% is detailed in the above table. The effective tax rate is driven by jurisdictional profitability mix; specifically, tax losses in the U.S. and Switzerland provided no tax benefit, while profits in other international jurisdictions remained subject to tax. In 2024, the effective tax rate of (1.2)% included $27.6 million of tax expense attributable to the change in the valuation allowances in the United States and Switzerland, partially offset by $6.7 million of favorable tax benefits for research credits. In 2023, the effective tax rate of (3.0)% included $27.3 million of tax expense attributable to the change in the valuation allowances in the United States and Switzerland, partially offset by $10.3 million of favorable tax benefits for research credits.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53670"/>
                <wp:effectExtent l="0" t="0" r="0" b="0"/>
                <wp:wrapNone/>
                <wp:docPr id="93" name="Frame9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91</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Deferred tax assets and liabilities reflect the net tax effects of temporary differences between the carrying amount of the assets and liabilities for financial reporting purposes and the amounts used for income tax purposes.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 xml:space="preserve">As of December 31, 2025 and 2024, significant components of our deferred tax assets and liabilities were as follows (in thousands): </w:t>
      </w:r>
    </w:p>
    <w:p>
      <w:pPr>
        <w:pStyle w:val="TextBody"/>
        <w:bidi w:val="0"/>
        <w:spacing w:before="0" w:after="0"/>
        <w:ind w:left="0" w:right="0" w:firstLine="360"/>
        <w:jc w:val="left"/>
        <w:rPr/>
      </w:pPr>
      <w:r>
        <w:rPr/>
      </w:r>
    </w:p>
    <w:tbl>
      <w:tblPr>
        <w:tblW w:w="6339" w:type="dxa"/>
        <w:jc w:val="left"/>
        <w:tblInd w:w="0" w:type="dxa"/>
        <w:tblLayout w:type="fixed"/>
        <w:tblCellMar>
          <w:top w:w="28" w:type="dxa"/>
          <w:left w:w="28" w:type="dxa"/>
          <w:bottom w:w="28" w:type="dxa"/>
          <w:right w:w="28" w:type="dxa"/>
        </w:tblCellMar>
      </w:tblPr>
      <w:tblGrid>
        <w:gridCol w:w="1309"/>
        <w:gridCol w:w="1149"/>
        <w:gridCol w:w="1157"/>
        <w:gridCol w:w="211"/>
        <w:gridCol w:w="856"/>
        <w:gridCol w:w="109"/>
        <w:gridCol w:w="109"/>
        <w:gridCol w:w="109"/>
        <w:gridCol w:w="109"/>
        <w:gridCol w:w="211"/>
        <w:gridCol w:w="856"/>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As of 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tax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operating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Tax credits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34,885 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Equity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Accrued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Bad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 accrued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Capitalized research and development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Gross deferred tax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221,793 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217,933 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Less: Valuation allowance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(187,969)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tax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29,964 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Deferred tax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Prepaid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Depreciation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deferred tax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(25,745)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(25,835)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and 2024, we had $325.6 million and $287.5 million, respectively, of gross net operating loss (“NOL”) carryforwards for U.S. federal tax purposes. U.S. federal NOL carryforwards in the gross amount of $23.5 million and generated prior to 2018 will expire, if unused, in 2037. Under the Tax Cuts and Jobs Act of 2017 (the “TCJA”), as modified by the Coronavirus Aid, Relief, and Economic Security Act (the “CARES Act”), federal NOL carryforwards generated in tax years beginning after December 31, 2017 may be carried forward indefinitely. As of December 31, 2025, we had $302.1 million of gross NOL carryforwards generated after 2017 for U.S. federal tax purposes, which may be used to offset up to 80% of our taxable income annually.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Section 382 of the Internal Revenue Code limits the utilization of NOL carryforwards when ownership changes occur, as defined by that section. A number of states have similar laws that limit utilization of state NOL carryforwards when ownership changes occur. We have performed an analysis of our Section 382 ownership changes and determined all U.S. federal and state NOL carryforwards are available for use as of December 31, 2025.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and 2024, we had $36.5 million and $32.5 million, respectively, of U.S. federal tax credit carryforwards which will expire, if unused, between 2031 and 2045.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2025 and 2024, we had U.S. gross state NOL carryforwards of $325.6 million and $297.5 million, respectively. We had tax-effected state NOL carryforwards of $17.1 million and $17.8 million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53670"/>
                <wp:effectExtent l="0" t="0" r="0" b="0"/>
                <wp:wrapNone/>
                <wp:docPr id="94" name="Frame9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92</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December 31, 2025 and 2024, respectively. The rules regarding carryforwards vary from state to state, and the ability to utilize NOLs varies based on timing and amount. The majority of state NOL carryforwards generated prior to 2018 will expire, if unused, in 2037. Due to the TCJA, certain state NOL carryforwards generated after 2017 have an indefinite carryforward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2025 and 2024, we had foreign gross NOL carryforwards of $231.6 million and $230.1 million, respectively, primarily attributable to our subsidiary in Switzerland. We had tax-effected foreign NOL carryforwards of $28.7 million and $29.0 million as of December 31, 2025 and 2024, respectively. In 2025, $3.0 million of tax-effected Swiss NOLs expired related to the 2018 tax year. An additional portion of those NOL carryforwards will expire each year, if unused, between 2026 and 2032.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and 2024 we had a total valuation allowance of $191.2 million and $188.0 million, respectively. The following table summarizes the activity related to our valuation allowances for the years ended December 31, 2025, 2024, and 2023 (in thousands):</w:t>
      </w:r>
    </w:p>
    <w:p>
      <w:pPr>
        <w:pStyle w:val="TextBody"/>
        <w:bidi w:val="0"/>
        <w:spacing w:before="0" w:after="0"/>
        <w:ind w:left="0" w:right="0" w:firstLine="360"/>
        <w:jc w:val="left"/>
        <w:rPr/>
      </w:pPr>
      <w:r>
        <w:rPr/>
      </w:r>
    </w:p>
    <w:tbl>
      <w:tblPr>
        <w:tblW w:w="7617" w:type="dxa"/>
        <w:jc w:val="left"/>
        <w:tblInd w:w="0" w:type="dxa"/>
        <w:tblLayout w:type="fixed"/>
        <w:tblCellMar>
          <w:top w:w="28" w:type="dxa"/>
          <w:left w:w="28" w:type="dxa"/>
          <w:bottom w:w="28" w:type="dxa"/>
          <w:right w:w="28" w:type="dxa"/>
        </w:tblCellMar>
      </w:tblPr>
      <w:tblGrid>
        <w:gridCol w:w="1228"/>
        <w:gridCol w:w="1077"/>
        <w:gridCol w:w="1085"/>
        <w:gridCol w:w="211"/>
        <w:gridCol w:w="856"/>
        <w:gridCol w:w="109"/>
        <w:gridCol w:w="109"/>
        <w:gridCol w:w="109"/>
        <w:gridCol w:w="109"/>
        <w:gridCol w:w="211"/>
        <w:gridCol w:w="856"/>
        <w:gridCol w:w="109"/>
        <w:gridCol w:w="109"/>
        <w:gridCol w:w="109"/>
        <w:gridCol w:w="109"/>
        <w:gridCol w:w="211"/>
        <w:gridCol w:w="856"/>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132,581 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Charged to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Foreign currency translation adjustments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Deductions from reserve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191,198 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187,969 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161,966 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we continued to maintain a full valuation allowance against U.S. deferred tax assets based on our cumulative operating results as of December 31, 2025, three-year cumulative loss, and an assessment of our expected future results of operations. We have evaluated all evidence, both positive and negative, in assessing the likelihood of realizability, and we determined the negative evidence outweighed the positive evidence.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2025, we have a valuation allowance of $22.6 million against foreign deferred tax assets at our subsidiary in Switzerland. Based on our cumulative operating results as of December 31, 2025 and an assessment of expected future results of operations, we determined it was not more likely than not we would be able to realize the deferred tax assets prior to expiration.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plan to distribute previously undistributed earnings of our foreign subsidiaries back to the United States in future years. Upon repatriation of those earnings, if any, we may be subject to taxes, including withholding taxes, net of any applicable foreign tax credits. Determination of the amount of unrecognized deferred U.S. income tax liability is not practicable.</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53670"/>
                <wp:effectExtent l="0" t="0" r="0" b="0"/>
                <wp:wrapNone/>
                <wp:docPr id="95" name="Frame9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93</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the years ended December 31, 2025, 2024, and 2023, cash paid, net of refunds received, consisted of the following:</w:t>
      </w:r>
    </w:p>
    <w:p>
      <w:pPr>
        <w:pStyle w:val="TextBody"/>
        <w:bidi w:val="0"/>
        <w:spacing w:before="0" w:after="0"/>
        <w:ind w:left="0" w:right="0" w:firstLine="360"/>
        <w:jc w:val="left"/>
        <w:rPr/>
      </w:pPr>
      <w:r>
        <w:rPr/>
      </w:r>
    </w:p>
    <w:tbl>
      <w:tblPr>
        <w:tblW w:w="6398" w:type="dxa"/>
        <w:jc w:val="left"/>
        <w:tblInd w:w="0" w:type="dxa"/>
        <w:tblLayout w:type="fixed"/>
        <w:tblCellMar>
          <w:top w:w="28" w:type="dxa"/>
          <w:left w:w="28" w:type="dxa"/>
          <w:bottom w:w="28" w:type="dxa"/>
          <w:right w:w="28" w:type="dxa"/>
        </w:tblCellMar>
      </w:tblPr>
      <w:tblGrid>
        <w:gridCol w:w="1241"/>
        <w:gridCol w:w="1092"/>
        <w:gridCol w:w="1101"/>
        <w:gridCol w:w="220"/>
        <w:gridCol w:w="426"/>
        <w:gridCol w:w="109"/>
        <w:gridCol w:w="109"/>
        <w:gridCol w:w="109"/>
        <w:gridCol w:w="109"/>
        <w:gridCol w:w="220"/>
        <w:gridCol w:w="426"/>
        <w:gridCol w:w="109"/>
        <w:gridCol w:w="109"/>
        <w:gridCol w:w="109"/>
        <w:gridCol w:w="109"/>
        <w:gridCol w:w="220"/>
        <w:gridCol w:w="42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Federal</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Aggregated state and local jurisdictions</w:t>
            </w:r>
            <w:r>
              <w:rPr>
                <w:rFonts w:ascii="Tahoma;sans-serif" w:hAnsi="Tahoma;sans-serif"/>
                <w:b w:val="false"/>
                <w:color w:val="000000"/>
                <w:sz w:val="12"/>
              </w:rPr>
              <w:t>(1)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Disaggregated foreign jurisdictions:</w:t>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Australia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Canada</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India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Italy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Mexico</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Netherlands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Spain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United Kingdom</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Other</w:t>
            </w:r>
            <w:r>
              <w:rPr>
                <w:rFonts w:ascii="Tahoma;sans-serif" w:hAnsi="Tahoma;sans-serif"/>
                <w:b w:val="false"/>
                <w:color w:val="000000"/>
                <w:sz w:val="12"/>
              </w:rPr>
              <w:t>(1)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Net cash paid for income taxes</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ahoma;sans-serif" w:hAnsi="Tahoma;sans-serif"/>
          <w:b w:val="false"/>
          <w:color w:val="000000"/>
          <w:sz w:val="9"/>
        </w:rPr>
        <w:t>[1]</w:t>
      </w:r>
      <w:r>
        <w:rPr>
          <w:color w:val="000000"/>
        </w:rPr>
        <w:t xml:space="preserve"> </w:t>
      </w:r>
      <w:r>
        <w:rPr>
          <w:rFonts w:ascii="Tahoma;sans-serif" w:hAnsi="Tahoma;sans-serif"/>
          <w:b w:val="false"/>
          <w:color w:val="000000"/>
          <w:sz w:val="14"/>
        </w:rPr>
        <w:t>No jurisdictions are individually above the threshold of 5% of total income taxes paid, net of refunds received, for the periods presented.</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As of December 31, 2025 and 2024, we had unrecognized tax benefits of $8.8 million and $7.8 million, respectively, none of which would affect our effective tax rate if recognized due to the valuation allowance. The following table summarizes the activity related to our unrecognized tax benefit from December 31, 2022 to December 31, 2025 (in thousands): </w:t>
      </w:r>
    </w:p>
    <w:p>
      <w:pPr>
        <w:pStyle w:val="TextBody"/>
        <w:bidi w:val="0"/>
        <w:spacing w:before="0" w:after="0"/>
        <w:ind w:left="0" w:right="0" w:firstLine="360"/>
        <w:jc w:val="left"/>
        <w:rPr/>
      </w:pPr>
      <w:r>
        <w:rPr/>
      </w:r>
    </w:p>
    <w:tbl>
      <w:tblPr>
        <w:tblW w:w="5120" w:type="dxa"/>
        <w:jc w:val="left"/>
        <w:tblInd w:w="0" w:type="dxa"/>
        <w:tblLayout w:type="fixed"/>
        <w:tblCellMar>
          <w:top w:w="28" w:type="dxa"/>
          <w:left w:w="28" w:type="dxa"/>
          <w:bottom w:w="28" w:type="dxa"/>
          <w:right w:w="28" w:type="dxa"/>
        </w:tblCellMar>
      </w:tblPr>
      <w:tblGrid>
        <w:gridCol w:w="1487"/>
        <w:gridCol w:w="1309"/>
        <w:gridCol w:w="1313"/>
        <w:gridCol w:w="211"/>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4,488 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prior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2023</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 xml:space="preserve">Reductions for tax positions in prior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2024</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7,840 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current years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 xml:space="preserve">Additions for tax positions in prior years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Reductions due to lapse in statutes of limitations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 xml:space="preserve">Settlements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Balance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recognize interest and penalties related to uncertain tax positions in income tax expense. Our uncertain tax positions primarily relate to U.S. federal research and development tax credits. During the years ended December 31, 2025, 2024, and 2023, we recognized nominal amounts in interest. The cumulative balances of interest and penalties as of December 31, 2025 and 2024 were immaterial.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53670"/>
                <wp:effectExtent l="0" t="0" r="0" b="0"/>
                <wp:wrapNone/>
                <wp:docPr id="96" name="Frame9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94</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file income tax returns in the U.S. federal jurisdiction and in various state and foreign jurisdictions. Due to NOL carryforwards, tax years 2016 through 2025 remain open to examination by the major taxing jurisdictions to which we are subject. There are no open examinations that would have a meaningful impact to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On July 4, 2025, the One Big Beautiful Bill Act (the “OBBBA”) was enacted, which extends most expiring TCJA provisions and reforms certain international tax rules. The application of the OBBBA to the Company did not have a material impact on its financial statements during the year ended December 31, 2025.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10. Stock-Based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Equity Incentive Plans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May 2017, our Board of Directors adopted, and our stockholders approved, the 2017 Equity Incentive Plan (the “2017 Plan”). The 2017 Plan provides for the grant of incentive stock options, non-statutory stock options, restricted stock awards, restricted stock units (“RSUs”), stock appreciation rights, performance-based stock awards, and other forms of equity compensation to employees, including officers, non-employee directors, and consultants. We initially reserved 6,421,442 shares of Class A common stock for issuance under the 2017 Plan, which included 421,442 shares that remained available for issuance under our 2007 Stock Option Plan (the “2007 Plan”) at the time the 2017 Plan became effective. The number of shares reserved under the 2017 Plan increases for any shares subject to outstanding awards originally granted under the 2007 Plan that expire or are forfeited prior to exercise. As a result of the adoption of the 2017 Plan, no further grants may be made under the 2007 Plan. As of December 31, 2025, there were 7,196,535 shares of Class A common stock reserved for issuance under the 2017 Plan, of which 585,638 are still available to be issued.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Stock Options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June 2022, our Board of Directors granted our Chief Executive Officer a stock option to purchase 700,000 shares of our Class A common stock under the 2017 Plan with an exercise price of $50.63 per share (the “2022 CEO Grant”). The 2022 CEO Grant is eligible to vest based on the achievement of various stock price appreciation targets of our Class A common stock. Specifically, the 2022 CEO Grant vests in four installments of 25% each if the average closing price per share for a 365 day calendar period equals or exceeds each of $175, $200, $225, and $250, respectively (the “Vesting Price Threshold”), prior to June 7, 2030. The option also vests if the Company engages in a Corporate Transaction, as defined in the Plan, in which the Company’s Class A common stock is valued at or above the Vesting Price Threshold. The fair value of the 2022 CEO Grant was determined using a Monte Carlo simulation. The fair value of the award at the grant date was $18.8 million and is being amortized over derived service periods ranging from 3.4 years to 4.1 years.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53670"/>
                <wp:effectExtent l="0" t="0" r="0" b="0"/>
                <wp:wrapNone/>
                <wp:docPr id="97" name="Frame9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95</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stock option activity for the years ended December 31, 2025, 2024, and 2023:</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673"/>
        <w:gridCol w:w="592"/>
        <w:gridCol w:w="594"/>
        <w:gridCol w:w="534"/>
        <w:gridCol w:w="528"/>
        <w:gridCol w:w="342"/>
        <w:gridCol w:w="109"/>
        <w:gridCol w:w="109"/>
        <w:gridCol w:w="109"/>
        <w:gridCol w:w="347"/>
        <w:gridCol w:w="1063"/>
        <w:gridCol w:w="179"/>
        <w:gridCol w:w="109"/>
        <w:gridCol w:w="109"/>
        <w:gridCol w:w="109"/>
        <w:gridCol w:w="779"/>
        <w:gridCol w:w="779"/>
        <w:gridCol w:w="782"/>
        <w:gridCol w:w="109"/>
        <w:gridCol w:w="109"/>
        <w:gridCol w:w="109"/>
        <w:gridCol w:w="382"/>
        <w:gridCol w:w="1362"/>
        <w:gridCol w:w="288"/>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Aggregate Intrinsic Value (in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2022</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2,697,959 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20.25 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45,862 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(98,610)</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3,387 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2023</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2,599,349 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20.73 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53,089 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(1,543,436)</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36,383 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(384)</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2024</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1,055,529 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37.34 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7,751 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Exercised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(107,821)</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2,557 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Expired</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Outstanding at December 31, 2025</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947,706 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40.41 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5,918 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Exercisable at December 31, 2025</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247,706 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3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5,918 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 stock options vested during the years ended December 31, 2025, 2024, and 2023. As of December 31, 2025, the total compensation cost related to unvested stock options not yet recognized, which relates exclusively to the 2022 CEO Grant, was $1.0 million. This amount will be recognized over a remaining weighted average period of 0.4 years.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53670"/>
                <wp:effectExtent l="0" t="0" r="0" b="0"/>
                <wp:wrapNone/>
                <wp:docPr id="98" name="Frame9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96</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Restricted Stock Units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2025, we changed our annual bonus program to provide eligible employees with the option to receive a portion or all of their earned annual bonuses for 2025, otherwise payable in cash, in the form of RSUs. The RSUs will be granted by our Board of Directors during the first quarter of 2026 and be fully vested upon grant. The portion of the 2025 annual bonus to be paid in the form of RSUs is recorded as stock-based compensation expense while the related obligations are recorded as liabilities in the ‘Accrued compensation and related benefits’ line item on our consolidated balance sheets. During the year ended December 31, 2025, we recognized $5.6 million of stock-based compensation related to this program.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RSU activity for the years ended December 31, 2025, 2024, and 2023:</w:t>
      </w:r>
    </w:p>
    <w:p>
      <w:pPr>
        <w:pStyle w:val="TextBody"/>
        <w:bidi w:val="0"/>
        <w:spacing w:before="0" w:after="0"/>
        <w:ind w:left="0" w:right="0" w:firstLine="360"/>
        <w:jc w:val="left"/>
        <w:rPr/>
      </w:pPr>
      <w:r>
        <w:rPr/>
      </w:r>
    </w:p>
    <w:tbl>
      <w:tblPr>
        <w:tblW w:w="9504" w:type="dxa"/>
        <w:jc w:val="left"/>
        <w:tblInd w:w="0" w:type="dxa"/>
        <w:tblLayout w:type="fixed"/>
        <w:tblCellMar>
          <w:top w:w="28" w:type="dxa"/>
          <w:left w:w="28" w:type="dxa"/>
          <w:bottom w:w="28" w:type="dxa"/>
          <w:right w:w="28" w:type="dxa"/>
        </w:tblCellMar>
      </w:tblPr>
      <w:tblGrid>
        <w:gridCol w:w="1547"/>
        <w:gridCol w:w="1362"/>
        <w:gridCol w:w="1365"/>
        <w:gridCol w:w="514"/>
        <w:gridCol w:w="514"/>
        <w:gridCol w:w="516"/>
        <w:gridCol w:w="109"/>
        <w:gridCol w:w="109"/>
        <w:gridCol w:w="109"/>
        <w:gridCol w:w="701"/>
        <w:gridCol w:w="2147"/>
        <w:gridCol w:w="511"/>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Weighted Average Grant Date Fair Value</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2022</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1,190,720 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1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65.97 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710,278 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42.52 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(668,119)</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58.64 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(154,815)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62.73 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2023</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1,078,064 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55.52 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987,528 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35.61 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(657,897)</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52.04 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(261,535)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45.81 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2024</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1,146,160 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42.59 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1,901,704 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30.19 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(678,558)</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43.65 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(256,556)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39.15 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Non-vested and outstanding at December 31, 2025</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2,112,750 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2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31.49 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As of December 31, 2025, total unrecognized compensation cost related to unvested RSUs was approximately $49.8 million, which will be recognized over a weighted average period of 1.8 years.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Performance Share Units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the terms of his compensation package, our Chief Financial Officer (“CFO”) is entitled to receive a recurring annual grant of performance share units (“PSUs”) valued at $1.5 million each year he is employed with the Company. For 2025, the PSUs will be granted based on the attainment of a financial performance measure aligning our combined revenue growth and margin targets. If the performance measure is met, the CFO receives 100% of the value of the PSU whereas if the performance measure is not met, 75% of the value is received.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award is subject to a four-year vesting schedule, with 25% immediately vesting upon grant and per year thereafter. The calculation of the PSUs to be granted will be made annually after the close of the calendar year and approved at the Board of Directors meeting thereafter. The award is recorded as stock-based compensation expense while the related obligations are recorded as liabilities in the ‘Accrued compensation and related benefits’ line item on our consolidated balance sheets. During the year ended December 31, 2025, we recognized $0.6 million of stock-based compensation related to this award.</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53670"/>
                <wp:effectExtent l="0" t="0" r="0" b="0"/>
                <wp:wrapNone/>
                <wp:docPr id="99" name="Frame9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97</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the components of our stock-based compensation expense by instrument type for the years ended December 31, 2025, 2024, and 2023 (in thousands):</w:t>
      </w:r>
    </w:p>
    <w:p>
      <w:pPr>
        <w:pStyle w:val="TextBody"/>
        <w:bidi w:val="0"/>
        <w:spacing w:before="0" w:after="0"/>
        <w:ind w:left="0" w:right="0" w:firstLine="360"/>
        <w:jc w:val="left"/>
        <w:rPr/>
      </w:pPr>
      <w:r>
        <w:rPr/>
      </w:r>
    </w:p>
    <w:tbl>
      <w:tblPr>
        <w:tblW w:w="7587" w:type="dxa"/>
        <w:jc w:val="center"/>
        <w:tblInd w:w="0" w:type="dxa"/>
        <w:tblLayout w:type="fixed"/>
        <w:tblCellMar>
          <w:top w:w="28" w:type="dxa"/>
          <w:left w:w="28" w:type="dxa"/>
          <w:bottom w:w="28" w:type="dxa"/>
          <w:right w:w="28" w:type="dxa"/>
        </w:tblCellMar>
      </w:tblPr>
      <w:tblGrid>
        <w:gridCol w:w="1325"/>
        <w:gridCol w:w="1163"/>
        <w:gridCol w:w="1187"/>
        <w:gridCol w:w="211"/>
        <w:gridCol w:w="751"/>
        <w:gridCol w:w="109"/>
        <w:gridCol w:w="109"/>
        <w:gridCol w:w="109"/>
        <w:gridCol w:w="109"/>
        <w:gridCol w:w="211"/>
        <w:gridCol w:w="751"/>
        <w:gridCol w:w="109"/>
        <w:gridCol w:w="109"/>
        <w:gridCol w:w="109"/>
        <w:gridCol w:w="109"/>
        <w:gridCol w:w="211"/>
        <w:gridCol w:w="751"/>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37,563 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Stock options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PSUs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Common stock awards to Board of Directors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stock-based compensation expense by line item in the accompanying consolidated statements of operations for the years ended December 31, 2025, 2024, and 2023 (in thousands):</w:t>
      </w:r>
    </w:p>
    <w:p>
      <w:pPr>
        <w:pStyle w:val="TextBody"/>
        <w:bidi w:val="0"/>
        <w:spacing w:before="0" w:after="0"/>
        <w:ind w:left="0" w:right="0" w:firstLine="360"/>
        <w:jc w:val="left"/>
        <w:rPr/>
      </w:pPr>
      <w:r>
        <w:rPr/>
      </w:r>
    </w:p>
    <w:tbl>
      <w:tblPr>
        <w:tblW w:w="7331" w:type="dxa"/>
        <w:jc w:val="center"/>
        <w:tblInd w:w="0" w:type="dxa"/>
        <w:tblLayout w:type="fixed"/>
        <w:tblCellMar>
          <w:top w:w="28" w:type="dxa"/>
          <w:left w:w="28" w:type="dxa"/>
          <w:bottom w:w="28" w:type="dxa"/>
          <w:right w:w="28" w:type="dxa"/>
        </w:tblCellMar>
      </w:tblPr>
      <w:tblGrid>
        <w:gridCol w:w="1239"/>
        <w:gridCol w:w="1087"/>
        <w:gridCol w:w="1093"/>
        <w:gridCol w:w="211"/>
        <w:gridCol w:w="751"/>
        <w:gridCol w:w="109"/>
        <w:gridCol w:w="109"/>
        <w:gridCol w:w="109"/>
        <w:gridCol w:w="109"/>
        <w:gridCol w:w="211"/>
        <w:gridCol w:w="751"/>
        <w:gridCol w:w="109"/>
        <w:gridCol w:w="109"/>
        <w:gridCol w:w="109"/>
        <w:gridCol w:w="109"/>
        <w:gridCol w:w="211"/>
        <w:gridCol w:w="751"/>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Cost of revenue</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Subscriptions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Professional services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Operating expenses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Sales and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8,526 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General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39,045 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43,387 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11. Stockholders' Equity</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authorized 500,000,000 shares of Class A common stock and 100,000,000 shares of Class B common stock, each with a par value of $0.0001 per share. As of December 31, 2025, our shares of Class A common stock, which are publicly traded on the Nasdaq Global Market, totaled 43,408,828 issued while our shares of Class B common stock, which are not publicly traded, totaled 31,088,085 issued and outstanding. The rights of the holders of Class A common stock and Class B common stock are identical except with respect to voting and conversion rights. In particular, the holders of Class A common stock are entitled to one vote per share, and the holders of Class B common stock are entitled to ten votes per share on all matters subject to stockholder vote. The holders of Class B common stock also have approval rights for certain corporate actions. Each share of Class B common stock may be converted into one share of Class A common stock at the option of its holder and will be automatically converted upon transfer thereof, subject to certain exceptions. In addition, upon the date on which the outstanding shares of Class B common stock represent less than 10% of the aggregate voting power of our capital stock, all outstanding shares of Class B common stock will convert automatically into Class A common stock.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Share Repurchases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In May 2025, our Board of Directors authorized a program to repurchase up to $10.0 million of our common stock from May 2025 to December 2025. In June 2025, we repurchased 0.3 million shares under this program at an average share price of $31.91, totaling an aggregate cost of $10.0 million.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In August 2025, our Board of Directors authorized a second program to repurchase up to an additional $10.0 million of our common stock from August 2025 to August 2027. In September 2025, we repurchased 0.3 million shares under this program at an average share price of $30.60, totaling an aggregate cost of $10.0 million. As of December 31, 2025, shareholders’ equity included 74.0 million shares outstanding, net of 0.5 million shares of common stock held in treasury.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53670"/>
                <wp:effectExtent l="0" t="0" r="0" b="0"/>
                <wp:wrapNone/>
                <wp:docPr id="100" name="Frame9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98</w:t>
                      </w:r>
                    </w:p>
                  </w:txbxContent>
                </v:textbox>
                <w10:wrap type="none"/>
              </v:rect>
            </w:pict>
          </mc:Fallback>
        </mc:AlternateConten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On February 17, 2026, the Board of Directors authorized a program to repurchase up to $50.0 million of our common stock (the “Share Repurchase Program”), effective February 2026 through February 2028. The Share Repurchase Program does not obligate Appian to acquire any specific number of shares, and shares of common stock may be repurchased using a variety of methods, including privately negotiated and/or open market transactions, under plans complying with Rule 10b5-1 of the Exchange Act, as part of accelerated share repurchases, or other methods. The timing and amount of any purchases of common stock will be based on our liquidity, general business and market conditions, debt covenant restrictions and other factors, including alternative investment opportunities.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12. Basic and Diluted Earnings (Loss) per Common Share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Basic earnings (loss) per share is computed by dividing net income (loss) by the weighted average number of common shares outstanding during the reporting period. Diluted earnings (loss) per share is computed similar to basic, except the weighted average number of common shares outstanding is increased to include additional outstanding shares from the assumed exercise of stock options and vesting of RSUs and PSUs, if dilutive. The dilutive effect, if any, of convertible shares is calculated using the treasury stock method.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is a reconciliation of weighted average number of shares outstanding used to compute basic and diluted earnings (loss) per share (in thousands except per share amounts):</w:t>
      </w:r>
    </w:p>
    <w:p>
      <w:pPr>
        <w:pStyle w:val="TextBody"/>
        <w:bidi w:val="0"/>
        <w:spacing w:before="0" w:after="0"/>
        <w:ind w:left="0" w:right="0" w:firstLine="360"/>
        <w:jc w:val="left"/>
        <w:rPr/>
      </w:pPr>
      <w:r>
        <w:rPr/>
      </w:r>
    </w:p>
    <w:tbl>
      <w:tblPr>
        <w:tblW w:w="8862" w:type="dxa"/>
        <w:jc w:val="left"/>
        <w:tblInd w:w="0" w:type="dxa"/>
        <w:tblLayout w:type="fixed"/>
        <w:tblCellMar>
          <w:top w:w="28" w:type="dxa"/>
          <w:left w:w="28" w:type="dxa"/>
          <w:bottom w:w="28" w:type="dxa"/>
          <w:right w:w="28" w:type="dxa"/>
        </w:tblCellMar>
      </w:tblPr>
      <w:tblGrid>
        <w:gridCol w:w="1724"/>
        <w:gridCol w:w="1520"/>
        <w:gridCol w:w="1526"/>
        <w:gridCol w:w="211"/>
        <w:gridCol w:w="646"/>
        <w:gridCol w:w="109"/>
        <w:gridCol w:w="109"/>
        <w:gridCol w:w="109"/>
        <w:gridCol w:w="109"/>
        <w:gridCol w:w="211"/>
        <w:gridCol w:w="841"/>
        <w:gridCol w:w="109"/>
        <w:gridCol w:w="109"/>
        <w:gridCol w:w="109"/>
        <w:gridCol w:w="109"/>
        <w:gridCol w:w="211"/>
        <w:gridCol w:w="94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(92,262)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(111,441)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Weighted average common shares outstanding, 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i/>
                <w:color w:val="000000"/>
                <w:sz w:val="18"/>
              </w:rPr>
            </w:pPr>
            <w:r>
              <w:rPr>
                <w:rFonts w:ascii="Tahoma;sans-serif" w:hAnsi="Tahoma;sans-serif"/>
                <w:b w:val="false"/>
                <w:i/>
                <w:color w:val="000000"/>
                <w:sz w:val="18"/>
              </w:rPr>
              <w:t>Effect of dilutive securities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Stock options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Restricted stock units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Performance share units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Weighted average number of shares outstanding - diluted</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74,649 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73,102 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Earnings (loss) per Class A and Class B share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Earnings (loss) per Class A and Class B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For the year ended December 31, 2025, approximately 1,046,000 outstanding common stock equivalents were excluded from the computation of diluted earnings per share because their effect would have been antidilutive. As we reported net losses for the years ended December 31, 2024 and 2023, all outstanding shares would be considered antidilutive if they were to be assumed as vested or exercised.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13. Commitments, Contingencies, and Other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Minimum Purchase Commitments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a non-cancellable cloud hosting arrangement with Amazon Web Services (“AWS”) that contains provisions for minimum purchase commitments. Specifically, purchase commitments under the agreement total $220.0 million over five years. The agreement, which originated in July 2021 and was amended in October 2024, currently contains minimum annual spending requirements of $44.0 million from November 2024 to October 2029. Spending under this agreement for the years ended December 31, 2025, 2024, and 2023 totaled $53.3 million, $41.2 million, and $36.6 million, respectively. The timing of payments under the agreement may vary, but we expect to meet our minimum annual spending requirement during the term of the arrangement. </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53670"/>
                <wp:effectExtent l="0" t="0" r="0" b="0"/>
                <wp:wrapNone/>
                <wp:docPr id="101" name="Frame9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99</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Exclusive of the AWS contract, we have other non-cancellable agreements for subscription software products that contain provisions stipulating minimum purchase commitments. However, the annual purchase commitments under these contracts are, individually and in the aggregate, immaterial to our consolidated financial statements.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Pegasystems Litigation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 xml:space="preserve">On May 29, 2020, we filed a civil complaint against Pegasystems, Inc. (“Pegasystems”) and Youyong Zou, a Virginia resident, in the Circuit Court for Fairfax County, Virginia. </w:t>
      </w:r>
      <w:r>
        <w:rPr>
          <w:rFonts w:ascii="Tahoma;sans-serif" w:hAnsi="Tahoma;sans-serif"/>
          <w:b w:val="false"/>
          <w:i/>
          <w:color w:val="000000"/>
          <w:sz w:val="20"/>
        </w:rPr>
        <w:t>Appian Corp v. Pegasystems Inc. &amp; Youyong Zou, No. 2020-07216 (Fairfax Cty. Ct.)</w:t>
      </w:r>
      <w:r>
        <w:rPr>
          <w:rFonts w:ascii="Tahoma;sans-serif" w:hAnsi="Tahoma;sans-serif"/>
          <w:b w:val="false"/>
          <w:color w:val="000000"/>
          <w:sz w:val="20"/>
        </w:rPr>
        <w:t>. On May 10, 2022, we announced the jury awarded us $2.036 billion in damages for misappropriation of our trade secrets and $1 in damages for violating the Virginia Computer Crimes Act. Pegasystems filed several post-trial motions seeking relief in the form of reducing the damages award or setting aside the jury’s verdict and either granting a new trial or entering judgment in Pegasystems’ favor. All of these motions were denied, and final judgment was entered by the Court on September 15, 2022. The final judgment reaffirmed the $2.036 billion in damages and also ordered Pegasystems to pay Appian $23.6 million in attorney's fees associated with the case as well as statutory post-judgment interest on the judgment at an annual rate of 6%, or approximately $122.0 million per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Defendant Youyong Zou has satisfied the judgment of $5,000 (plus interest) against him in lieu of appealing that judgment. On September 15, 2022, Pegasystems filed a notice of appeal to the Court of Appeals of Virginia. On July 30, 2024, the Court of Appeals of Virginia issued a decision reversing the judgment against Pegasystems and remanding for a new trial. The decision rejected Pegasystems’ argument that Appian had not presented evidence that trade secrets were misappropriated but reversed the judgment on the basis of evidentiary and damages rulings made by the trial court. On August 29, 2024, Appian submitted a petition to the Supreme Court of Virginia seeking to reverse the Court of Appeals decision and reinstate the full judgment against Pegasystems. Pegasystems filed an opposition to the petition and cross-issues for appeal on October 21, 2024. Appian's petition was heard on February 11, 2025. On January 6, 2026, the Supreme Court of Virginia issued an opinion affirming the opinion rendered by the Court of Appeals on both sides and remanding the case for a retrial. The timeline for any such retrial is in the control of the courts of Virginia. We cannot predict the outcome of any further appeals or any retrial or the exact time it will take to resolve them.</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Judgment Preservation Insurance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On September 1, 2023, we obtained a judgment preservation insurance (“JPI”) policy in connection with our original $2.036 billion judgment against Pegasystems. The total cost of the policy was $57.3 million and is comprised of the premium, a one-time broker fee, and Virginia lines tax. The policy provides up to $500.0 million of coverage.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total cost of the policy was capitalized and is being amortized on a straight-line basis over the estimated period to obtain a final and unappealable judgment. Amortization expense associated with the JPI premium is recorded to general and administrative expenses in our consolidated statements of operations. JPI amortization expense was $12.5 million, $15.8 million, and $6.0 million for the years ended December 31, 2025, 2024, and 2023, respectively. As of December 31, 2025, $12.5 million of the unamortized balance is classified as ‘Prepaid expenses and other current assets’ while the remaining $10.4 million is classified as ‘Other assets’ on our consolidated balance sheets.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Other Legal Matters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From time to time, we are subject to legal, regulatory, and other proceedings and claims that arise in the ordinary course of business. Other than as disclosed elsewhere in this Annual Report,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53670"/>
                <wp:effectExtent l="0" t="0" r="0" b="0"/>
                <wp:wrapNone/>
                <wp:docPr id="102" name="Frame10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100</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14. Segment and Geographic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Operating segments are defined as components of an enterprise for which discrete financial information is available that is evaluated regularly by the chief operating decision maker (“CODM”) for purposes of allocating resources and evaluating financial performance. We have determined our CODM is our Chief Executive Officer.</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one operating and one reportable segment, representing our consolidated business that helps organizations design, automate, and optimize important business processes from start to finish. We generate revenue from customers primarily through the sale of cloud and license subscriptions bundled with maintenance and support as well as professional services revenue from fees for our consulting services and training related to our platform. Our reportable segment determination is based on our management and internal reporting structure, the nature of the subscriptions and services we offer, and the financial information evaluated regularly by our CODM.</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CODM uses operating income (loss) and net income (loss) reported on the consolidated statements of operations to assess performance for the segment and decide how to allocate resources. In addition, the CODM reviews the expense categories presented on the consolidated statements of operations to manage the Company’s operations. Operating income (loss) and net income (loss) are used to evaluate profitability trends in the business, and the CODM considers budget-to-actual variances for both profit measures when making decisions about allocating capital and resources. Significant segment expenses, which are the expenses included in operating income (loss) and net income (loss), as well as other segment items such as other (income) expense, net and income tax expense are included in the consolidated statements of operations. The CODM does not review any significant segment expense information that differs from the expense presented in the consolidated statements of operations. Further, the measure of segment assets is total assets as reported on the consolidated balance sheets.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following table summarizes revenue by geography for the years ended December 31, 2025, 2024, and 2023 (in thousands):</w:t>
      </w:r>
    </w:p>
    <w:p>
      <w:pPr>
        <w:pStyle w:val="TextBody"/>
        <w:bidi w:val="0"/>
        <w:spacing w:before="0" w:after="0"/>
        <w:ind w:left="0" w:right="0" w:firstLine="360"/>
        <w:jc w:val="left"/>
        <w:rPr/>
      </w:pPr>
      <w:r>
        <w:rPr/>
      </w:r>
    </w:p>
    <w:tbl>
      <w:tblPr>
        <w:tblW w:w="5368" w:type="dxa"/>
        <w:jc w:val="left"/>
        <w:tblInd w:w="0" w:type="dxa"/>
        <w:tblLayout w:type="fixed"/>
        <w:tblCellMar>
          <w:top w:w="28" w:type="dxa"/>
          <w:left w:w="28" w:type="dxa"/>
          <w:bottom w:w="28" w:type="dxa"/>
          <w:right w:w="28" w:type="dxa"/>
        </w:tblCellMar>
      </w:tblPr>
      <w:tblGrid>
        <w:gridCol w:w="413"/>
        <w:gridCol w:w="362"/>
        <w:gridCol w:w="366"/>
        <w:gridCol w:w="211"/>
        <w:gridCol w:w="856"/>
        <w:gridCol w:w="109"/>
        <w:gridCol w:w="109"/>
        <w:gridCol w:w="109"/>
        <w:gridCol w:w="109"/>
        <w:gridCol w:w="211"/>
        <w:gridCol w:w="856"/>
        <w:gridCol w:w="109"/>
        <w:gridCol w:w="109"/>
        <w:gridCol w:w="109"/>
        <w:gridCol w:w="109"/>
        <w:gridCol w:w="211"/>
        <w:gridCol w:w="856"/>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Year Ended December 31,</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2023</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453,724 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391,002 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350,210 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International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273,213 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195,153 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726,937 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617,022 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545,363 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With respect to geographic information, revenue is attributed to respective geographies based on the contracting address of the customer. The value of our long-lived assets, which are comprised of property and equipment, intangible assets with finite lives, and right-of-use assets, held in the United States and internationally as of December 31, 2025 were $49.0 million and $12.4 million, respectively. As of December 31, 2024, our long-lived assets held in the United States and internationally were $55.9 million and $14.6 million, respectively.</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15. Retirement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We have a defined contribution 401(k) retirement and savings plan (the “Plan”) to provide retirement benefits for all eligible employees. With limited exceptions, all employees over the age of 21 on the first day of the month immediately following the month of hiring are eligible to participate in the Plan. The Plan allows eligible employees to make salary-deferred contributions up to 75% of their pre-tax annual compensation, as defined in the Plan, as long as the total contributed does not exceed the annual maximum allowable amount under the Internal Revenue Code. The Company makes a semi-monthly matching contribution of 100% of the employee's contribution for that pay period, up to a maximum of 4% of the employee's eligible gross compensation for that pay period. Company contributions vest ratably based on years of service over a four year period, beginning with the completion of the first year of service. For the years ended December 31, 2025, 2024, and 2023, we incurred $13.0 million, $12.8 million, and $12.9 million, respectively, in contribution expense related to employer matching contributions. </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53670"/>
                <wp:effectExtent l="0" t="0" r="0" b="0"/>
                <wp:wrapNone/>
                <wp:docPr id="103" name="Frame10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101</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16. Investments and 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Fair Value Measurements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U.S. GAAP establishes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Level 1 - </w:t>
      </w:r>
      <w:r>
        <w:rPr>
          <w:rFonts w:ascii="Tahoma;sans-serif" w:hAnsi="Tahoma;sans-serif"/>
          <w:b w:val="false"/>
          <w:color w:val="000000"/>
          <w:sz w:val="20"/>
        </w:rPr>
        <w:t>Observable inputs based on unadjusted quoted prices in active markets for identical assets or liabilities;</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Level 2 - </w:t>
      </w:r>
      <w:r>
        <w:rPr>
          <w:rFonts w:ascii="Tahoma;sans-serif" w:hAnsi="Tahoma;sans-serif"/>
          <w:b w:val="false"/>
          <w:color w:val="000000"/>
          <w:sz w:val="20"/>
        </w:rPr>
        <w:t>Inputs, other than quoted prices in active markets, that are observable either directly or indirectly; and</w:t>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 xml:space="preserve">Level 3 - </w:t>
      </w:r>
      <w:r>
        <w:rPr>
          <w:rFonts w:ascii="Tahoma;sans-serif" w:hAnsi="Tahoma;sans-serif"/>
          <w:b w:val="false"/>
          <w:color w:val="000000"/>
          <w:sz w:val="20"/>
        </w:rPr>
        <w:t>Unobservable inputs for which there is little or no market data, and which require us to develop our own estimates and assumptions reflecting those that a market participant would use.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 There were no instruments measured at fair value on a recurring basis using significant unobservable inputs during the years ended December 31, 2025 and 2024.</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The valuation techniques that may be used to measure fair value are as follows: </w:t>
      </w:r>
    </w:p>
    <w:p>
      <w:pPr>
        <w:pStyle w:val="TextBody"/>
        <w:bidi w:val="0"/>
        <w:spacing w:before="0" w:after="0"/>
        <w:ind w:left="0" w:right="0" w:firstLine="360"/>
        <w:jc w:val="left"/>
        <w:rPr/>
      </w:pPr>
      <w:r>
        <w:rPr/>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Market approach -</w:t>
      </w:r>
      <w:r>
        <w:rPr>
          <w:color w:val="000000"/>
        </w:rPr>
        <w:t xml:space="preserve"> </w:t>
      </w:r>
      <w:r>
        <w:rPr>
          <w:rFonts w:ascii="Tahoma;sans-serif" w:hAnsi="Tahoma;sans-serif"/>
          <w:b w:val="false"/>
          <w:color w:val="000000"/>
          <w:sz w:val="20"/>
        </w:rPr>
        <w:t xml:space="preserve">Uses prices and other relevant information generated by market transactions involving identical or comparable assets or liabilities; </w:t>
      </w:r>
    </w:p>
    <w:p>
      <w:pPr>
        <w:pStyle w:val="TextBody"/>
        <w:bidi w:val="0"/>
        <w:spacing w:lineRule="auto" w:line="288" w:before="0" w:after="120"/>
        <w:ind w:left="0" w:right="0" w:hanging="360"/>
        <w:jc w:val="left"/>
        <w:rPr/>
      </w:pPr>
      <w:r>
        <w:rPr>
          <w:color w:val="000000"/>
        </w:rPr>
        <w:t>•</w:t>
      </w:r>
      <w:r>
        <w:rPr>
          <w:rFonts w:ascii="Tahoma;sans-serif" w:hAnsi="Tahoma;sans-serif"/>
          <w:b/>
          <w:color w:val="000000"/>
          <w:sz w:val="20"/>
        </w:rPr>
        <w:t xml:space="preserve">Income approach - </w:t>
      </w:r>
      <w:r>
        <w:rPr>
          <w:rFonts w:ascii="Tahoma;sans-serif" w:hAnsi="Tahoma;sans-serif"/>
          <w:b w:val="false"/>
          <w:color w:val="000000"/>
          <w:sz w:val="20"/>
        </w:rPr>
        <w:t>Uses valuation techniques to convert future amounts to a single present amount based on current market expectations about those future amounts; and</w:t>
      </w:r>
    </w:p>
    <w:p>
      <w:pPr>
        <w:pStyle w:val="TextBody"/>
        <w:bidi w:val="0"/>
        <w:spacing w:lineRule="auto" w:line="288" w:before="0" w:after="0"/>
        <w:ind w:left="0" w:right="0" w:hanging="360"/>
        <w:jc w:val="left"/>
        <w:rPr/>
      </w:pPr>
      <w:r>
        <w:rPr>
          <w:color w:val="000000"/>
        </w:rPr>
        <w:t>•</w:t>
      </w:r>
      <w:r>
        <w:rPr>
          <w:rFonts w:ascii="Tahoma;sans-serif" w:hAnsi="Tahoma;sans-serif"/>
          <w:b/>
          <w:color w:val="000000"/>
          <w:sz w:val="20"/>
        </w:rPr>
        <w:t>Cost approach -</w:t>
      </w:r>
      <w:r>
        <w:rPr>
          <w:color w:val="000000"/>
        </w:rPr>
        <w:t xml:space="preserve"> </w:t>
      </w:r>
      <w:r>
        <w:rPr>
          <w:rFonts w:ascii="Tahoma;sans-serif" w:hAnsi="Tahoma;sans-serif"/>
          <w:b w:val="false"/>
          <w:color w:val="000000"/>
          <w:sz w:val="20"/>
        </w:rPr>
        <w:t>Based on the amount that currently would be required to replace the service capacity of an asset (i.e., replacement cost).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carrying amounts of our accounts receivable, accounts payable, and accrued expenses approximate fair value as of December 31, 2025 and 2024 because of the relatively short duration of these instruments. Additionally, the carrying value of our debt associated with the term loan facility approximates fair value because the interest rates are variable and reset on relatively short durations to the current market rates.</w:t>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53670"/>
                <wp:effectExtent l="0" t="0" r="0" b="0"/>
                <wp:wrapNone/>
                <wp:docPr id="104" name="Frame10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102</w:t>
                      </w:r>
                    </w:p>
                  </w:txbxContent>
                </v:textbox>
                <w10:wrap type="none"/>
              </v:rect>
            </w:pict>
          </mc:Fallback>
        </mc:AlternateConten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APPIAN CORPORATION</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NOTES TO CONSOLIDATED FINANCIAL STATEMENTS</w:t>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Investments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investment portfolio consists largely of debt investments classified as available-for-sale. Changes in the fair value of available-for-sale securities, excluding other-than-temporary impairments, have been recorded in ‘Accumulated other comprehensive loss’ in our consolidated balance sheets. The components of our cash, cash equivalents, and investments as of December 31, 2025 and 2024 are as follows (in thousands):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2"/>
        <w:gridCol w:w="285"/>
        <w:gridCol w:w="280"/>
        <w:gridCol w:w="231"/>
        <w:gridCol w:w="231"/>
        <w:gridCol w:w="233"/>
        <w:gridCol w:w="109"/>
        <w:gridCol w:w="109"/>
        <w:gridCol w:w="109"/>
        <w:gridCol w:w="211"/>
        <w:gridCol w:w="856"/>
        <w:gridCol w:w="109"/>
        <w:gridCol w:w="109"/>
        <w:gridCol w:w="109"/>
        <w:gridCol w:w="109"/>
        <w:gridCol w:w="297"/>
        <w:gridCol w:w="573"/>
        <w:gridCol w:w="155"/>
        <w:gridCol w:w="109"/>
        <w:gridCol w:w="109"/>
        <w:gridCol w:w="109"/>
        <w:gridCol w:w="211"/>
        <w:gridCol w:w="856"/>
        <w:gridCol w:w="109"/>
        <w:gridCol w:w="109"/>
        <w:gridCol w:w="109"/>
        <w:gridCol w:w="109"/>
        <w:gridCol w:w="247"/>
        <w:gridCol w:w="1006"/>
        <w:gridCol w:w="128"/>
        <w:gridCol w:w="109"/>
        <w:gridCol w:w="109"/>
        <w:gridCol w:w="109"/>
        <w:gridCol w:w="325"/>
        <w:gridCol w:w="1157"/>
        <w:gridCol w:w="167"/>
        <w:gridCol w:w="109"/>
        <w:gridCol w:w="162"/>
      </w:tblGrid>
      <w:tr>
        <w:trPr/>
        <w:tc>
          <w:tcPr>
            <w:tcW w:w="6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As of December 31, 2025</w:t>
            </w:r>
          </w:p>
        </w:tc>
        <w:tc>
          <w:tcPr>
            <w:tcW w:w="271" w:type="dxa"/>
            <w:gridSpan w:val="2"/>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Balance Sheet Classification</w:t>
            </w:r>
          </w:p>
        </w:tc>
        <w:tc>
          <w:tcPr>
            <w:tcW w:w="271" w:type="dxa"/>
            <w:gridSpan w:val="2"/>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Short-term Investments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Cash</w:t>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118,297 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Money market fund</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17,513 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Treasury bonds</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26,649 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Commercial paper</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6,151 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Corporate bonds</w:t>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18,615 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investments</w:t>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187,183 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187,225 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135,810 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51,415 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632"/>
        <w:gridCol w:w="285"/>
        <w:gridCol w:w="280"/>
        <w:gridCol w:w="231"/>
        <w:gridCol w:w="231"/>
        <w:gridCol w:w="232"/>
        <w:gridCol w:w="109"/>
        <w:gridCol w:w="109"/>
        <w:gridCol w:w="109"/>
        <w:gridCol w:w="211"/>
        <w:gridCol w:w="856"/>
        <w:gridCol w:w="109"/>
        <w:gridCol w:w="109"/>
        <w:gridCol w:w="109"/>
        <w:gridCol w:w="109"/>
        <w:gridCol w:w="300"/>
        <w:gridCol w:w="578"/>
        <w:gridCol w:w="157"/>
        <w:gridCol w:w="109"/>
        <w:gridCol w:w="109"/>
        <w:gridCol w:w="109"/>
        <w:gridCol w:w="211"/>
        <w:gridCol w:w="856"/>
        <w:gridCol w:w="109"/>
        <w:gridCol w:w="109"/>
        <w:gridCol w:w="109"/>
        <w:gridCol w:w="109"/>
        <w:gridCol w:w="247"/>
        <w:gridCol w:w="1005"/>
        <w:gridCol w:w="127"/>
        <w:gridCol w:w="109"/>
        <w:gridCol w:w="109"/>
        <w:gridCol w:w="109"/>
        <w:gridCol w:w="324"/>
        <w:gridCol w:w="1153"/>
        <w:gridCol w:w="167"/>
        <w:gridCol w:w="109"/>
        <w:gridCol w:w="160"/>
      </w:tblGrid>
      <w:tr>
        <w:trPr/>
        <w:tc>
          <w:tcPr>
            <w:tcW w:w="6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ahoma;sans-serif" w:hAnsi="Tahoma;sans-serif"/>
                <w:b/>
                <w:color w:val="000000"/>
                <w:sz w:val="18"/>
              </w:rPr>
              <w:t xml:space="preserve">As of </w:t>
            </w:r>
            <w:r>
              <w:rPr>
                <w:rFonts w:ascii="Tahoma;sans-serif" w:hAnsi="Tahoma;sans-serif"/>
                <w:b/>
                <w:color w:val="000000"/>
                <w:sz w:val="20"/>
              </w:rPr>
              <w:t>December 31, 2024</w:t>
            </w:r>
          </w:p>
        </w:tc>
        <w:tc>
          <w:tcPr>
            <w:tcW w:w="269" w:type="dxa"/>
            <w:gridSpan w:val="2"/>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Balance Sheet Classification</w:t>
            </w:r>
          </w:p>
        </w:tc>
        <w:tc>
          <w:tcPr>
            <w:tcW w:w="269" w:type="dxa"/>
            <w:gridSpan w:val="2"/>
            <w:tcBorders/>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Fair Value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 xml:space="preserve">Unrealized Gains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color w:val="000000"/>
                <w:sz w:val="18"/>
              </w:rPr>
            </w:pPr>
            <w:r>
              <w:rPr>
                <w:rFonts w:ascii="Tahoma;sans-serif" w:hAnsi="Tahoma;sans-serif"/>
                <w:b/>
                <w:color w:val="000000"/>
                <w:sz w:val="18"/>
              </w:rPr>
              <w:t>Short-term Investments and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Cash</w:t>
            </w:r>
          </w:p>
        </w:tc>
        <w:tc>
          <w:tcPr>
            <w:tcW w:w="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106,338 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Money market fund</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12,214 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U.S. Treasury bonds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24,402 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Commercial paper</w:t>
            </w:r>
          </w:p>
        </w:tc>
        <w:tc>
          <w:tcPr>
            <w:tcW w:w="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Corporate bonds</w:t>
            </w:r>
          </w:p>
        </w:tc>
        <w:tc>
          <w:tcPr>
            <w:tcW w:w="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13,929 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Total investments</w:t>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58 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159,860 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118,552 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ahoma;sans-serif" w:hAnsi="Tahoma;sans-serif"/>
                <w:b w:val="false"/>
                <w:color w:val="000000"/>
                <w:sz w:val="18"/>
              </w:rPr>
            </w:pPr>
            <w:r>
              <w:rPr>
                <w:rFonts w:ascii="Tahoma;sans-serif" w:hAnsi="Tahoma;sans-serif"/>
                <w:b w:val="false"/>
                <w:color w:val="000000"/>
                <w:sz w:val="18"/>
              </w:rPr>
              <w:t>41,308 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rPr>
        <w:t>We did not hold any Level 3 assets at any point during the years ended December 31, 2025 and 2024. Additionally, there were no transfers between Levels 1 and 2 during the years ended December 31, 2025 and 2024. Interest income on our investments, which is recorded within ‘Other (income) expense, net’ on our consolidated statements of operations, totaled $6.9 million, $6.8 million, and $9.0 million for the years ended December 31, 2025, 2024, and 2023,</w:t>
      </w:r>
      <w:r>
        <w:rPr>
          <w:color w:val="000000"/>
        </w:rPr>
        <w:t xml:space="preserve"> </w:t>
      </w:r>
      <w:r>
        <w:rPr>
          <w:rFonts w:ascii="Tahoma;sans-serif" w:hAnsi="Tahoma;sans-serif"/>
          <w:b w:val="false"/>
          <w:color w:val="000000"/>
          <w:sz w:val="20"/>
        </w:rPr>
        <w:t xml:space="preserve">respectively.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contractual maturities of our debt securities as of December 31, 2025 and 2024 were all one year or less. Actual maturities may differ from contractual maturities because borrowers have the right to call or prepay certain obligations.</w:t>
      </w:r>
    </w:p>
    <w:p>
      <w:pPr>
        <w:pStyle w:val="TextBody"/>
        <w:bidi w:val="0"/>
        <w:spacing w:before="0" w:after="0"/>
        <w:ind w:left="0" w:right="0" w:firstLine="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53670"/>
                <wp:effectExtent l="0" t="0" r="0" b="0"/>
                <wp:wrapNone/>
                <wp:docPr id="105" name="Frame10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 Changes in and Disagreements with Accountants on Accounting and Financial Disclosure.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None.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9A. Controls and Procedures.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Evaluation of Disclosure Controls and Procedures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maintain disclosure controls and procedures as defined in Rule 13a-15(e) and Rule 15d-15(e) under the Exchange Act that are designed to ensure information required to be disclosed by a company in the reports it files or submits under the Exchange Act is recorded, processed, summarized, and reported within the time periods specified in the SEC’s rules and forms. Disclosure controls and procedures include, without limitation, controls and procedures designed to ensure information required to be disclosed by a company in the reports it files or submits under the Exchange Act is accumulated and communicated to its management, including its principal executive and principal financial officers, as appropriate to allow timely decisions regarding required disclosure.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management, with the participation of our Chief Executive Officer and our Chief Financial Officer, evaluated the effectiveness of our disclosure controls and procedures as of December 31, 2025. Based on the evaluation of our disclosure controls and procedures as of December 31, 2025, our Chief Executive Officer and Chief Financial Officer concluded, as of such date, our disclosure controls and procedures were effective at the reasonable assurance level.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Management's Annual Report on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Our management is responsible for establishing and maintaining adequate internal control over financial reporting, as such term is defined in Rules 13a-15(f) and 15(d)-15(f) of the Exchange Act. Our management assessed the effectiveness of our internal control over financial reporting as of December 31, 2025 based on the criteria set forth by the Committee of Sponsoring Organizations of the Treadway Commission in Internal Control - Integrated Framework (2013). Based on this assessment, management concluded that, as of December 31, 2025, our internal control over financial reporting was effective.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Annual Report on Form 10-K includes an attestation report of our independent registered public accounting firm regarding internal control over financial reporting, which appears in Part II, Item 8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Changes in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There have been no material changes in our internal control over financial reporting that occurred during the quarter ended December 31, 2025 that have materially affected, or are reasonably likely to materially affect, our internal control over financial reporting.</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color w:val="000000"/>
          <w:sz w:val="20"/>
        </w:rPr>
      </w:pPr>
      <w:r>
        <w:rPr>
          <w:rFonts w:ascii="Tahoma;sans-serif" w:hAnsi="Tahoma;sans-serif"/>
          <w:b/>
          <w:color w:val="000000"/>
          <w:sz w:val="20"/>
        </w:rPr>
        <w:t>Inherent Limitations on Effectiveness of Controls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Our management, including our Chief Executive Officer and Chief Financial Officer, believes our disclosure controls and procedures and internal control over financial reporting are designed to provide reasonable assurance of achieving their objectives and are effective at the reasonable assurance level. However, our management does not expect our disclosure controls and procedures or our internal control over financial reporting will prevent all errors and all fraud. A control system, no matter how well conceived and operated, can provide only reasonable, not absolute, assurance the objectives of the control system are met. Further, the design of a control system must reflect the fact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53670"/>
                <wp:effectExtent l="0" t="0" r="0" b="0"/>
                <wp:wrapNone/>
                <wp:docPr id="106" name="Frame104"/>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also is based in part upon certain assumptions about the likelihood of future events, and there can be no assurance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9B. Other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set forth below is included herein for purposes of providing disclosure under Form 8-K.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i/>
          <w:color w:val="000000"/>
          <w:sz w:val="20"/>
        </w:rPr>
      </w:pPr>
      <w:r>
        <w:rPr>
          <w:rFonts w:ascii="Tahoma;sans-serif" w:hAnsi="Tahoma;sans-serif"/>
          <w:b/>
          <w:i/>
          <w:color w:val="000000"/>
          <w:sz w:val="20"/>
        </w:rPr>
        <w:t>Rule 10b5-1 Trading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ahoma;sans-serif" w:hAnsi="Tahoma;sans-serif"/>
          <w:b w:val="false"/>
          <w:color w:val="000000"/>
          <w:sz w:val="20"/>
          <w:shd w:fill="FFFFFF" w:val="clear"/>
        </w:rPr>
        <w:t xml:space="preserve">The adoption or termination of contracts, instructions, or written plans for the purchase or sale of our securities by our Section 16 officers and directors for the </w:t>
      </w:r>
      <w:r>
        <w:rPr>
          <w:rFonts w:ascii="Tahoma;sans-serif" w:hAnsi="Tahoma;sans-serif"/>
          <w:b w:val="false"/>
          <w:color w:val="000000"/>
          <w:sz w:val="20"/>
        </w:rPr>
        <w:t>three months ended December 31, 2025</w:t>
      </w:r>
      <w:r>
        <w:rPr>
          <w:rFonts w:ascii="Tahoma;sans-serif" w:hAnsi="Tahoma;sans-serif"/>
          <w:b w:val="false"/>
          <w:color w:val="000000"/>
          <w:sz w:val="20"/>
          <w:shd w:fill="FFFFFF" w:val="clear"/>
        </w:rPr>
        <w:t>, each of which is intended to satisfy the affirmative defense conditions of Rule 10b5-1(c) under the Exchange Act (“Rule 10b5-1 Plan”), were as follows:</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406"/>
        <w:gridCol w:w="354"/>
        <w:gridCol w:w="359"/>
        <w:gridCol w:w="109"/>
        <w:gridCol w:w="109"/>
        <w:gridCol w:w="109"/>
        <w:gridCol w:w="576"/>
        <w:gridCol w:w="576"/>
        <w:gridCol w:w="584"/>
        <w:gridCol w:w="109"/>
        <w:gridCol w:w="109"/>
        <w:gridCol w:w="109"/>
        <w:gridCol w:w="279"/>
        <w:gridCol w:w="279"/>
        <w:gridCol w:w="283"/>
        <w:gridCol w:w="109"/>
        <w:gridCol w:w="109"/>
        <w:gridCol w:w="109"/>
        <w:gridCol w:w="337"/>
        <w:gridCol w:w="337"/>
        <w:gridCol w:w="339"/>
        <w:gridCol w:w="109"/>
        <w:gridCol w:w="109"/>
        <w:gridCol w:w="109"/>
        <w:gridCol w:w="382"/>
        <w:gridCol w:w="382"/>
        <w:gridCol w:w="384"/>
        <w:gridCol w:w="109"/>
        <w:gridCol w:w="109"/>
        <w:gridCol w:w="109"/>
        <w:gridCol w:w="790"/>
        <w:gridCol w:w="790"/>
        <w:gridCol w:w="1133"/>
      </w:tblGrid>
      <w:tr>
        <w:trPr/>
        <w:tc>
          <w:tcPr>
            <w:tcW w:w="4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Date Adopted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color w:val="000000"/>
                <w:sz w:val="18"/>
              </w:rPr>
            </w:pPr>
            <w:r>
              <w:rPr>
                <w:rFonts w:ascii="Tahoma;sans-serif" w:hAnsi="Tahoma;sans-serif"/>
                <w:b/>
                <w:color w:val="000000"/>
                <w:sz w:val="18"/>
              </w:rPr>
              <w:t>Aggregate # of Securities to be Purchased/Sold</w:t>
            </w:r>
          </w:p>
        </w:tc>
      </w:tr>
      <w:tr>
        <w:trPr/>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ahoma;sans-serif" w:hAnsi="Tahoma;sans-serif"/>
                <w:b w:val="false"/>
                <w:color w:val="000000"/>
                <w:sz w:val="18"/>
              </w:rPr>
              <w:t xml:space="preserve">Robert Kramer </w:t>
            </w:r>
            <w:r>
              <w:rPr>
                <w:rFonts w:ascii="Tahoma;sans-serif" w:hAnsi="Tahoma;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General Manager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12/8/2025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3/8/2027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18"/>
              </w:rPr>
            </w:pPr>
            <w:r>
              <w:rPr>
                <w:rFonts w:ascii="Tahoma;sans-serif" w:hAnsi="Tahoma;sans-serif"/>
                <w:b w:val="false"/>
                <w:color w:val="000000"/>
                <w:sz w:val="18"/>
              </w:rPr>
              <w:t>236,382</w:t>
            </w:r>
          </w:p>
        </w:tc>
      </w:tr>
    </w:tbl>
    <w:p>
      <w:pPr>
        <w:pStyle w:val="TextBody"/>
        <w:bidi w:val="0"/>
        <w:spacing w:lineRule="auto" w:line="288" w:before="0" w:after="0"/>
        <w:jc w:val="left"/>
        <w:rPr/>
      </w:pPr>
      <w:r>
        <w:rPr>
          <w:rFonts w:ascii="Tahoma;sans-serif" w:hAnsi="Tahoma;sans-serif"/>
          <w:b w:val="false"/>
          <w:color w:val="000000"/>
          <w:sz w:val="10"/>
        </w:rPr>
        <w:t>(1)</w:t>
      </w:r>
      <w:r>
        <w:rPr>
          <w:color w:val="000000"/>
        </w:rPr>
        <w:t xml:space="preserve"> </w:t>
      </w:r>
      <w:r>
        <w:rPr>
          <w:rFonts w:ascii="Tahoma;sans-serif" w:hAnsi="Tahoma;sans-serif"/>
          <w:b w:val="false"/>
          <w:color w:val="000000"/>
          <w:sz w:val="16"/>
        </w:rPr>
        <w:t>Robert Kramer, General Manager and a member of the Board of Directors, entered into a prearranged stock trading plan pursuant to Rule 10b5-1 on December 8, 2025. Mr. Kramer’s plan provides for the potential sale of up to 236,382 shares of Appian Class A common stock. The plan commences on March 9, 2026 and expires on the earlier of the completion of all authorized transactions under the plan or March 8, 2027.</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shd w:fill="FFFFFF" w:val="clear"/>
        </w:rPr>
      </w:pPr>
      <w:r>
        <w:rPr>
          <w:rFonts w:ascii="Tahoma;sans-serif" w:hAnsi="Tahoma;sans-serif"/>
          <w:b w:val="false"/>
          <w:color w:val="000000"/>
          <w:sz w:val="20"/>
          <w:shd w:fill="FFFFFF" w:val="clear"/>
        </w:rPr>
        <w:t>Other than disclosed above, none of our directors or officers adopted or terminated a "non-Rule 10b5-1 trading arrangement"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53670"/>
                <wp:effectExtent l="0" t="0" r="0" b="0"/>
                <wp:wrapNone/>
                <wp:docPr id="107" name="Frame105"/>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III</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10. Directors, Executive Officers, and Corporate Governance.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2026 Annual Meeting of Stockholders to be filed with the SEC within 120 days after the end of the fiscal year ended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adopted a Code of Conduct, applicable to all of our employees, executive officers, and directors. The Code of Conduct is available on our website at www.appian.com. We expect any amendments to the Code of Conduct or any waivers of its requirement will be disclosed on our website as required by applicable law or the listing standards of the Nasdaq Global Market.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We have adopted an insider trading policy governing the purchase, sale, and/or other dispositions of our securities by our directors, officers, and employees that we believe is reasonably designed to promote compliance with insider trading laws, rules and regulations, and the exchange listing standards applicable to us. A copy of our insider trading policy is filed as Exhibit 19 to this Annual Report on Form 10-K.</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2026 Annual Meeting of Stockholders to be filed with the SEC within 120 days after the end of the year ended December 31,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2026 Annual Meeting of Stockholders to be filed with the SEC within 120 days after the end of the year ended December 31,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2026 Annual Meeting of Stockholders to be filed with the SEC within 120 days after the end of the year ended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The information required by this item is incorporated by reference to our Proxy Statement for our 2026 Annual Meeting of Stockholders to be filed with the SEC within 120 days after the end of the year ended December 31, 2025.</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53670"/>
                <wp:effectExtent l="0" t="0" r="0" b="0"/>
                <wp:wrapNone/>
                <wp:docPr id="108" name="Frame106"/>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w:t>
      </w:r>
      <w:r>
        <w:rPr>
          <w:rFonts w:ascii="Tahoma;sans-serif" w:hAnsi="Tahoma;sans-serif"/>
          <w:b/>
          <w:color w:val="000000"/>
          <w:sz w:val="20"/>
        </w:rPr>
        <w:t>tem 15. Exhibits and Financial Statement Schedules.</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(a) The following documents are filed as part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(1) Consolidated Financial Statements and Report of Independent Registered Public Accounting Firm (BDO USA, P.C.; McLean, Virginia; PCAOB ID #243) are shown in the Index to Financial Statements included in Part II, Item 8 of this Annual Report on Form 10-K.</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(2) All financial statement schedules are omitted because they are not applicable or the required information is shown in the financial statements or notes thereto.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(3) Exhibits are incorporated herein by reference or are filed with this Annual Report on Form 10-K as indicated below.</w:t>
      </w:r>
    </w:p>
    <w:p>
      <w:pPr>
        <w:pStyle w:val="TextBody"/>
        <w:bidi w:val="0"/>
        <w:spacing w:before="0" w:after="0"/>
        <w:jc w:val="left"/>
        <w:rPr/>
      </w:pPr>
      <w:r>
        <w:rPr/>
      </w: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(b)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38"/>
        <w:gridCol w:w="239"/>
        <w:gridCol w:w="109"/>
        <w:gridCol w:w="109"/>
        <w:gridCol w:w="109"/>
        <w:gridCol w:w="1244"/>
        <w:gridCol w:w="1244"/>
        <w:gridCol w:w="1256"/>
        <w:gridCol w:w="109"/>
        <w:gridCol w:w="109"/>
        <w:gridCol w:w="109"/>
        <w:gridCol w:w="1476"/>
        <w:gridCol w:w="1476"/>
        <w:gridCol w:w="2107"/>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color w:val="000000"/>
                <w:sz w:val="18"/>
              </w:rPr>
            </w:pPr>
            <w:r>
              <w:rPr>
                <w:rFonts w:ascii="Tahoma;sans-serif" w:hAnsi="Tahoma;sans-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18"/>
              </w:rPr>
            </w:pPr>
            <w:r>
              <w:rPr>
                <w:rFonts w:ascii="Tahoma;sans-serif" w:hAnsi="Tahoma;sans-serif"/>
                <w:b/>
                <w:color w:val="000000"/>
                <w:sz w:val="18"/>
              </w:rPr>
              <w:t>Reference</w:t>
            </w:r>
          </w:p>
        </w:tc>
      </w:tr>
      <w:tr>
        <w:trPr/>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Certificate of Incorporation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ahoma;sans-serif" w:hAnsi="Tahoma;sans-serif"/>
                  <w:b w:val="false"/>
                  <w:color w:val="0000FF"/>
                  <w:sz w:val="18"/>
                  <w:u w:val="single"/>
                </w:rPr>
                <w:t>Previously filed as Exhibit 3.2 to Amendment No. 3 to the Company’s Registration Statement on Form S-1 (File No. 333-217510), filed with the Securities and Exchange Commission on May 12,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Amended and Restated Bylaws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
              <w:r>
                <w:rPr>
                  <w:rStyle w:val="InternetLink"/>
                  <w:rFonts w:ascii="Tahoma;sans-serif" w:hAnsi="Tahoma;sans-serif"/>
                  <w:b w:val="false"/>
                  <w:color w:val="0000FF"/>
                  <w:sz w:val="18"/>
                  <w:u w:val="single"/>
                </w:rPr>
                <w:t>Previously filed as Exhibit 3.4 to Amendment No. 2 to the Company’s Registration Statement on Form S-1 (File No. 333-217510), filed with the Securities and Exchange Commission on May 10,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Form of Class A common stock certificate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ahoma;sans-serif" w:hAnsi="Tahoma;sans-serif"/>
                  <w:b w:val="false"/>
                  <w:color w:val="0000FF"/>
                  <w:sz w:val="18"/>
                  <w:u w:val="single"/>
                </w:rPr>
                <w:t>Previously filed as Exhibit 4.1 to Amendment No. 3 to the Registrant’s Registration Statement on Form S-1 (File No. 333-217510), filed with the Securities and Exchange Commission on May 12,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Description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7">
              <w:r>
                <w:rPr>
                  <w:rStyle w:val="InternetLink"/>
                  <w:rFonts w:ascii="Tahoma;sans-serif" w:hAnsi="Tahoma;sans-serif"/>
                  <w:b w:val="false"/>
                  <w:color w:val="0000FF"/>
                  <w:sz w:val="18"/>
                  <w:u w:val="single"/>
                </w:rPr>
                <w:t>Previously filed as Exhibit 4.3 to the Company’s Annual Report on 10-K (File No. 001-38098), filed with the Securities and Exchange Commission on February 17, 2022,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2007 Stock Option Plan and Form of Option Agreement and Exercise Notice thereunder, as amended to date.</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ahoma;sans-serif" w:hAnsi="Tahoma;sans-serif"/>
                  <w:b w:val="false"/>
                  <w:color w:val="0000FF"/>
                  <w:sz w:val="18"/>
                  <w:u w:val="single"/>
                </w:rPr>
                <w:t>Previously filed as Exhibit 10.1 to the Company’s Registration Statement on Form S-1 (File No. 333-217510), filed with the Securities and Exchange Commission on April 27,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and Forms of Stock Option Agreement, Notice of Exercise and Stock Option Grant Notice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ahoma;sans-serif" w:hAnsi="Tahoma;sans-serif"/>
                  <w:b w:val="false"/>
                  <w:color w:val="0000FF"/>
                  <w:sz w:val="18"/>
                  <w:u w:val="single"/>
                </w:rPr>
                <w:t>Previously filed as Exhibit 10.2 to Amendment No. 2 to the Company’s Registration Statement on Form S-1 (File No. 333-217510), filed with the Securities and Exchange Commission on May 10, 2017,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French Qualifying Sub-Plan, with Forms of Restricted Stock Unit Grant Notice and Restricted Stock Unit Award Agreement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ahoma;sans-serif" w:hAnsi="Tahoma;sans-serif"/>
                  <w:b w:val="false"/>
                  <w:color w:val="0000FF"/>
                  <w:sz w:val="18"/>
                  <w:u w:val="single"/>
                </w:rPr>
                <w:t>Previously filed as Exhibit 10.14 to the Company’s Annual Report on Form 10-K (File No. 001-38098), filed with the Securities and Exchange Commission on February 23, 2018,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2017 Equity Incentive Plan CSOP Sub-Plan for UK Eligible Employees, with Forms of CSOP Stock Option Grant Notice and CSOP Option Agreement thereunder.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1">
              <w:r>
                <w:rPr>
                  <w:rStyle w:val="InternetLink"/>
                  <w:rFonts w:ascii="Tahoma;sans-serif" w:hAnsi="Tahoma;sans-serif"/>
                  <w:b w:val="false"/>
                  <w:color w:val="0000FF"/>
                  <w:sz w:val="18"/>
                  <w:u w:val="single"/>
                </w:rPr>
                <w:t>Previously filed as Exhibit 10.15 to the Company’s Annual Report on Form 10-K (File No. 001-38098), filed with the Securities and Exchange Commission on February 23, 2018, and incorporated herein by reference.</w:t>
              </w:r>
            </w:hyperlink>
          </w:p>
        </w:tc>
      </w:tr>
      <w:tr>
        <w:trPr/>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53670"/>
                <wp:effectExtent l="0" t="0" r="0" b="0"/>
                <wp:wrapNone/>
                <wp:docPr id="109" name="Frame107"/>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1566"/>
        <w:gridCol w:w="1209"/>
        <w:gridCol w:w="1212"/>
        <w:gridCol w:w="109"/>
        <w:gridCol w:w="109"/>
        <w:gridCol w:w="109"/>
        <w:gridCol w:w="1453"/>
        <w:gridCol w:w="1453"/>
        <w:gridCol w:w="205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Forms of Restricted Stock Unit Grant Notices and Restricted Stock Unit Award Agreements under 2017 Equity Incentive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2">
              <w:r>
                <w:rPr>
                  <w:rStyle w:val="InternetLink"/>
                  <w:rFonts w:ascii="Tahoma;sans-serif" w:hAnsi="Tahoma;sans-serif"/>
                  <w:b w:val="false"/>
                  <w:color w:val="0000FF"/>
                  <w:sz w:val="18"/>
                  <w:u w:val="single"/>
                </w:rPr>
                <w:t>Previously filed as Exhibit 10.12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Forms of Restricted Stock Award Grant Notice and Restricted Stock Award Agreement under 2017 Equity Incentive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3">
              <w:r>
                <w:rPr>
                  <w:rStyle w:val="InternetLink"/>
                  <w:rFonts w:ascii="Tahoma;sans-serif" w:hAnsi="Tahoma;sans-serif"/>
                  <w:b w:val="false"/>
                  <w:color w:val="0000FF"/>
                  <w:sz w:val="18"/>
                  <w:u w:val="single"/>
                </w:rPr>
                <w:t>Previously filed as Exhibit 10.13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56" w:before="0" w:after="0"/>
              <w:jc w:val="left"/>
              <w:rPr/>
            </w:pPr>
            <w:r>
              <w:rPr>
                <w:rFonts w:ascii="Tahoma;sans-serif" w:hAnsi="Tahoma;sans-serif"/>
                <w:b w:val="false"/>
                <w:color w:val="000000"/>
                <w:sz w:val="18"/>
              </w:rPr>
              <w:t>Appian Corporation Employee Stock Purchase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August 5,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Agreement on the Sale and Transfer of Shares dated as of August 4, 2021, by and among Appian Europe Ltd., and each of the Sellers and Managers identified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56" w:before="0" w:after="0"/>
              <w:jc w:val="left"/>
              <w:rPr/>
            </w:pPr>
            <w:hyperlink r:id="rId15">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November 4,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Non-Employee Director Compensation Plan, as amended December 16, 2020.</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ahoma;sans-serif" w:hAnsi="Tahoma;sans-serif"/>
                  <w:b w:val="false"/>
                  <w:color w:val="0000FF"/>
                  <w:sz w:val="18"/>
                  <w:u w:val="single"/>
                </w:rPr>
                <w:t>Previously filed as Exhibit 10.3 to the Company’s Annual Report on 10-K (File No. 001-38098), filed with the Securities and Exchange Commission on February 18, 2021,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 of Indemnification Agreement by and between Appian Corporation and each of its directors and executive officers.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7">
              <w:r>
                <w:rPr>
                  <w:rStyle w:val="InternetLink"/>
                  <w:rFonts w:ascii="Tahoma;sans-serif" w:hAnsi="Tahoma;sans-serif"/>
                  <w:b w:val="false"/>
                  <w:color w:val="0000FF"/>
                  <w:sz w:val="18"/>
                  <w:u w:val="single"/>
                </w:rPr>
                <w:t>Previously filed as Exhibit 10.4 to Amendment No. 2 to the Company’s Registration Statement on Form S-1 (File No. 333-217510), filed with the Securities and Exchange Commission on May 10,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Senior Executive Cash Incentive Bonus Plan.</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8">
              <w:r>
                <w:rPr>
                  <w:rStyle w:val="InternetLink"/>
                  <w:rFonts w:ascii="Tahoma;sans-serif" w:hAnsi="Tahoma;sans-serif"/>
                  <w:b w:val="false"/>
                  <w:color w:val="0000FF"/>
                  <w:sz w:val="18"/>
                  <w:u w:val="single"/>
                </w:rPr>
                <w:t>Previously filed as Exhibit 10.11 to the Company’s Annual Report on Form 10-K (File No. 001-38098), filed with the Securities and Exchange Commission on February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September 7, 2012, by and between Appian Corporation and Matthew Calkins.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9">
              <w:r>
                <w:rPr>
                  <w:rStyle w:val="InternetLink"/>
                  <w:rFonts w:ascii="Tahoma;sans-serif" w:hAnsi="Tahoma;sans-serif"/>
                  <w:b w:val="false"/>
                  <w:color w:val="0000FF"/>
                  <w:sz w:val="18"/>
                  <w:u w:val="single"/>
                </w:rPr>
                <w:t>Previously filed as Exhibit 10.5 to the Company’s Registration Statement on Form S-1 (File No. 333-217510), filed with the Securities and Exchange Commission on April 27,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September 7, 2012, by and between Appian Corporation and Robert Kramer.</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May 7,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March 31, 2020, by and between Appian Corporation and Pavel Zamudio-Ramirez .</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1">
              <w:r>
                <w:rPr>
                  <w:rStyle w:val="InternetLink"/>
                  <w:rFonts w:ascii="Tahoma;sans-serif" w:hAnsi="Tahoma;sans-serif"/>
                  <w:b w:val="false"/>
                  <w:color w:val="0000FF"/>
                  <w:sz w:val="18"/>
                  <w:u w:val="single"/>
                </w:rPr>
                <w:t>Previously filed as Exhibit 10.16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November 20, 2024, by and between Appian Corporation and Mark Dorsey.</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2">
              <w:r>
                <w:rPr>
                  <w:rStyle w:val="InternetLink"/>
                  <w:rFonts w:ascii="Tahoma;sans-serif" w:hAnsi="Tahoma;sans-serif"/>
                  <w:b w:val="false"/>
                  <w:color w:val="0000FF"/>
                  <w:sz w:val="18"/>
                  <w:u w:val="single"/>
                </w:rPr>
                <w:t>Previously filed as Exhibit 10.32 to the Company’s Annual Report on Form 10-K (File No. 001-38098) filed with the Securities and Exchange Commission on February 19, 2025,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Offer Letter, dated as of April 16, 2025, by and between Appian Corporation and Srdjan Tanjga.</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3">
              <w:r>
                <w:rPr>
                  <w:rStyle w:val="InternetLink"/>
                  <w:rFonts w:ascii="Tahoma;sans-serif" w:hAnsi="Tahoma;sans-serif"/>
                  <w:b w:val="false"/>
                  <w:color w:val="000080"/>
                  <w:sz w:val="18"/>
                  <w:u w:val="single"/>
                </w:rPr>
                <w:t xml:space="preserve">Previously filed as Exhibit 10.1 to the Company's Quarterly Report on Form 10-Q (File No. 001-38098) filed with the Securities and Exchange Commission on </w:t>
              </w:r>
            </w:hyperlink>
            <w:hyperlink r:id="rId24">
              <w:r>
                <w:rPr>
                  <w:rStyle w:val="InternetLink"/>
                  <w:rFonts w:ascii="Tahoma;sans-serif" w:hAnsi="Tahoma;sans-serif"/>
                  <w:b w:val="false"/>
                  <w:color w:val="000080"/>
                  <w:sz w:val="18"/>
                  <w:u w:val="single"/>
                </w:rPr>
                <w:t>August 7</w:t>
              </w:r>
            </w:hyperlink>
            <w:hyperlink r:id="rId25">
              <w:r>
                <w:rPr>
                  <w:rStyle w:val="InternetLink"/>
                  <w:rFonts w:ascii="Tahoma;sans-serif" w:hAnsi="Tahoma;sans-serif"/>
                  <w:b w:val="false"/>
                  <w:color w:val="000080"/>
                  <w:sz w:val="18"/>
                  <w:u w:val="single"/>
                </w:rPr>
                <w:t>, 20</w:t>
              </w:r>
            </w:hyperlink>
            <w:hyperlink r:id="rId26">
              <w:r>
                <w:rPr>
                  <w:rStyle w:val="InternetLink"/>
                  <w:rFonts w:ascii="Tahoma;sans-serif" w:hAnsi="Tahoma;sans-serif"/>
                  <w:b w:val="false"/>
                  <w:color w:val="000080"/>
                  <w:sz w:val="18"/>
                  <w:u w:val="single"/>
                </w:rPr>
                <w:t>25</w:t>
              </w:r>
            </w:hyperlink>
            <w:hyperlink r:id="rId27">
              <w:r>
                <w:rPr>
                  <w:rStyle w:val="InternetLink"/>
                  <w:rFonts w:ascii="Tahoma;sans-serif" w:hAnsi="Tahoma;sans-serif"/>
                  <w:b w:val="false"/>
                  <w:color w:val="000080"/>
                  <w:sz w:val="18"/>
                  <w:u w:val="single"/>
                </w:rPr>
                <w:t>,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Employment Agreement, dated as of April 17, 2025, by and between Appian Corporation and Srdjan Tanjga</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Tahoma;sans-serif" w:hAnsi="Tahoma;sans-serif"/>
                  <w:b w:val="false"/>
                  <w:color w:val="000080"/>
                  <w:sz w:val="18"/>
                  <w:u w:val="single"/>
                </w:rPr>
                <w:t>Previously filed as Exhibit 10.</w:t>
              </w:r>
            </w:hyperlink>
            <w:hyperlink r:id="rId29">
              <w:r>
                <w:rPr>
                  <w:rStyle w:val="InternetLink"/>
                  <w:rFonts w:ascii="Tahoma;sans-serif" w:hAnsi="Tahoma;sans-serif"/>
                  <w:b w:val="false"/>
                  <w:color w:val="000080"/>
                  <w:sz w:val="18"/>
                  <w:u w:val="single"/>
                </w:rPr>
                <w:t>2</w:t>
              </w:r>
            </w:hyperlink>
            <w:hyperlink r:id="rId30">
              <w:r>
                <w:rPr>
                  <w:rStyle w:val="InternetLink"/>
                  <w:rFonts w:ascii="Tahoma;sans-serif" w:hAnsi="Tahoma;sans-serif"/>
                  <w:b w:val="false"/>
                  <w:color w:val="000080"/>
                  <w:sz w:val="18"/>
                  <w:u w:val="single"/>
                </w:rPr>
                <w:t xml:space="preserve"> to the Company's Quarterly Report on Form 10-Q (File No. 001-38098) filed with the Securities and Exchange Commission on August 7, 2025,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53670"/>
                <wp:effectExtent l="0" t="0" r="0" b="0"/>
                <wp:wrapNone/>
                <wp:docPr id="110" name="Frame108"/>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1526"/>
        <w:gridCol w:w="1526"/>
        <w:gridCol w:w="1531"/>
        <w:gridCol w:w="109"/>
        <w:gridCol w:w="109"/>
        <w:gridCol w:w="109"/>
        <w:gridCol w:w="1278"/>
        <w:gridCol w:w="1278"/>
        <w:gridCol w:w="1811"/>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Form of Amended and Restated Employment Agreement, dated as of April 27, 2017, by and between Appian Corporation and Chris Winters.</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1">
              <w:r>
                <w:rPr>
                  <w:rStyle w:val="InternetLink"/>
                  <w:rFonts w:ascii="Tahoma;sans-serif" w:hAnsi="Tahoma;sans-serif"/>
                  <w:b w:val="false"/>
                  <w:color w:val="000080"/>
                  <w:sz w:val="18"/>
                  <w:u w:val="single"/>
                </w:rPr>
                <w:t>Previously filed as Exhibit 10.</w:t>
              </w:r>
            </w:hyperlink>
            <w:hyperlink r:id="rId32">
              <w:r>
                <w:rPr>
                  <w:rStyle w:val="InternetLink"/>
                  <w:rFonts w:ascii="Tahoma;sans-serif" w:hAnsi="Tahoma;sans-serif"/>
                  <w:b w:val="false"/>
                  <w:color w:val="000080"/>
                  <w:sz w:val="18"/>
                  <w:u w:val="single"/>
                </w:rPr>
                <w:t>7</w:t>
              </w:r>
            </w:hyperlink>
            <w:hyperlink r:id="rId33">
              <w:r>
                <w:rPr>
                  <w:rStyle w:val="InternetLink"/>
                  <w:rFonts w:ascii="Tahoma;sans-serif" w:hAnsi="Tahoma;sans-serif"/>
                  <w:b w:val="false"/>
                  <w:color w:val="000080"/>
                  <w:sz w:val="18"/>
                  <w:u w:val="single"/>
                </w:rPr>
                <w:t xml:space="preserve"> to the Company's</w:t>
              </w:r>
            </w:hyperlink>
            <w:hyperlink r:id="rId34">
              <w:r>
                <w:rPr>
                  <w:rStyle w:val="InternetLink"/>
                  <w:rFonts w:ascii="Tahoma;sans-serif" w:hAnsi="Tahoma;sans-serif"/>
                  <w:b w:val="false"/>
                  <w:color w:val="000080"/>
                  <w:sz w:val="18"/>
                  <w:u w:val="single"/>
                </w:rPr>
                <w:t xml:space="preserve"> Registration Statemen</w:t>
              </w:r>
            </w:hyperlink>
            <w:hyperlink r:id="rId35">
              <w:r>
                <w:rPr>
                  <w:rStyle w:val="InternetLink"/>
                  <w:rFonts w:ascii="Tahoma;sans-serif" w:hAnsi="Tahoma;sans-serif"/>
                  <w:b w:val="false"/>
                  <w:color w:val="000080"/>
                  <w:sz w:val="18"/>
                  <w:u w:val="single"/>
                </w:rPr>
                <w:t>t on Form</w:t>
              </w:r>
            </w:hyperlink>
            <w:hyperlink r:id="rId36">
              <w:r>
                <w:rPr>
                  <w:rStyle w:val="InternetLink"/>
                  <w:rFonts w:ascii="Tahoma;sans-serif" w:hAnsi="Tahoma;sans-serif"/>
                  <w:b w:val="false"/>
                  <w:color w:val="000080"/>
                  <w:sz w:val="18"/>
                  <w:u w:val="single"/>
                </w:rPr>
                <w:t xml:space="preserve"> </w:t>
              </w:r>
            </w:hyperlink>
            <w:hyperlink r:id="rId37">
              <w:r>
                <w:rPr>
                  <w:rStyle w:val="InternetLink"/>
                  <w:rFonts w:ascii="Tahoma;sans-serif" w:hAnsi="Tahoma;sans-serif"/>
                  <w:b w:val="false"/>
                  <w:color w:val="000080"/>
                  <w:sz w:val="18"/>
                  <w:u w:val="single"/>
                </w:rPr>
                <w:t>S-1</w:t>
              </w:r>
            </w:hyperlink>
            <w:hyperlink r:id="rId38">
              <w:r>
                <w:rPr>
                  <w:rStyle w:val="InternetLink"/>
                  <w:rFonts w:ascii="Tahoma;sans-serif" w:hAnsi="Tahoma;sans-serif"/>
                  <w:b w:val="false"/>
                  <w:color w:val="000080"/>
                  <w:sz w:val="18"/>
                  <w:u w:val="single"/>
                </w:rPr>
                <w:t xml:space="preserve"> (File No. 333-217510)</w:t>
              </w:r>
            </w:hyperlink>
            <w:hyperlink r:id="rId39">
              <w:r>
                <w:rPr>
                  <w:rStyle w:val="InternetLink"/>
                  <w:rFonts w:ascii="Tahoma;sans-serif" w:hAnsi="Tahoma;sans-serif"/>
                  <w:b w:val="false"/>
                  <w:color w:val="000080"/>
                  <w:sz w:val="18"/>
                  <w:u w:val="single"/>
                </w:rPr>
                <w:t>,</w:t>
              </w:r>
            </w:hyperlink>
            <w:hyperlink r:id="rId40">
              <w:r>
                <w:rPr>
                  <w:rStyle w:val="InternetLink"/>
                  <w:rFonts w:ascii="Tahoma;sans-serif" w:hAnsi="Tahoma;sans-serif"/>
                  <w:b w:val="false"/>
                  <w:color w:val="000080"/>
                  <w:sz w:val="18"/>
                  <w:u w:val="single"/>
                </w:rPr>
                <w:t xml:space="preserve"> filed with the Securities and Exchange Commission on A</w:t>
              </w:r>
            </w:hyperlink>
            <w:hyperlink r:id="rId41">
              <w:r>
                <w:rPr>
                  <w:rStyle w:val="InternetLink"/>
                  <w:rFonts w:ascii="Tahoma;sans-serif" w:hAnsi="Tahoma;sans-serif"/>
                  <w:b w:val="false"/>
                  <w:color w:val="000080"/>
                  <w:sz w:val="18"/>
                  <w:u w:val="single"/>
                </w:rPr>
                <w:t>pril</w:t>
              </w:r>
            </w:hyperlink>
            <w:hyperlink r:id="rId42">
              <w:r>
                <w:rPr>
                  <w:rStyle w:val="InternetLink"/>
                  <w:rFonts w:ascii="Tahoma;sans-serif" w:hAnsi="Tahoma;sans-serif"/>
                  <w:b w:val="false"/>
                  <w:color w:val="000080"/>
                  <w:sz w:val="18"/>
                  <w:u w:val="single"/>
                </w:rPr>
                <w:t xml:space="preserve"> </w:t>
              </w:r>
            </w:hyperlink>
            <w:hyperlink r:id="rId43">
              <w:r>
                <w:rPr>
                  <w:rStyle w:val="InternetLink"/>
                  <w:rFonts w:ascii="Tahoma;sans-serif" w:hAnsi="Tahoma;sans-serif"/>
                  <w:b w:val="false"/>
                  <w:color w:val="000080"/>
                  <w:sz w:val="18"/>
                  <w:u w:val="single"/>
                </w:rPr>
                <w:t>2</w:t>
              </w:r>
            </w:hyperlink>
            <w:hyperlink r:id="rId44">
              <w:r>
                <w:rPr>
                  <w:rStyle w:val="InternetLink"/>
                  <w:rFonts w:ascii="Tahoma;sans-serif" w:hAnsi="Tahoma;sans-serif"/>
                  <w:b w:val="false"/>
                  <w:color w:val="000080"/>
                  <w:sz w:val="18"/>
                  <w:u w:val="single"/>
                </w:rPr>
                <w:t>7, 2025,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Deed of Lease, dated April 17, 2018,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Tahoma;sans-serif" w:hAnsi="Tahoma;sans-serif"/>
                  <w:b w:val="false"/>
                  <w:color w:val="0000FF"/>
                  <w:sz w:val="18"/>
                  <w:u w:val="single"/>
                </w:rPr>
                <w:t>Previously filed as Exhibit 10.1 to the Company’s Current Report on Form 8-K (File No. 001-38098), filed with the Securities and Exchange Commission on April 23, 2018,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First Amendment to Deed of Lease, dated December 23, 2019,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6">
              <w:r>
                <w:rPr>
                  <w:rStyle w:val="InternetLink"/>
                  <w:rFonts w:ascii="Tahoma;sans-serif" w:hAnsi="Tahoma;sans-serif"/>
                  <w:b w:val="false"/>
                  <w:color w:val="0000FF"/>
                  <w:sz w:val="18"/>
                  <w:u w:val="single"/>
                </w:rPr>
                <w:t>Previously filed as Exhibit 10.15 to the Company's Annual Report on Form 10-K (File No. 001-38098), filed with the Securities and Exchange Commission on February 20,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Second Amendment to Deed of Lease, effective as of January 1, 2020,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7">
              <w:r>
                <w:rPr>
                  <w:rStyle w:val="InternetLink"/>
                  <w:rFonts w:ascii="Tahoma;sans-serif" w:hAnsi="Tahoma;sans-serif"/>
                  <w:b w:val="false"/>
                  <w:color w:val="0000FF"/>
                  <w:sz w:val="18"/>
                  <w:u w:val="single"/>
                </w:rPr>
                <w:t>Previously filed as Exhibit 10.16 to the Company's Annual Report on Form 10-K (File No. 001-38098), filed with the Securities and Exchange Commission on February 20, 2020,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Third Amendment to Deed of Lease, dated as of November 30, 2021, between Appian Corporation and Tamares 7950 Owner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ahoma;sans-serif" w:hAnsi="Tahoma;sans-serif"/>
                  <w:b w:val="false"/>
                  <w:color w:val="0000FF"/>
                  <w:sz w:val="18"/>
                  <w:u w:val="single"/>
                </w:rPr>
                <w:t>Previously filed as Exhibit 10.21 to the Company's Annual Report on Form 10-K (File No. 001-38098), filed with the Securities and Exchange Commission on February 17,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ahoma;sans-serif" w:hAnsi="Tahoma;sans-serif"/>
                <w:b w:val="false"/>
                <w:color w:val="000000"/>
                <w:sz w:val="18"/>
              </w:rPr>
            </w:pPr>
            <w:r>
              <w:rPr>
                <w:rFonts w:ascii="Tahoma;sans-serif" w:hAnsi="Tahoma;sans-serif"/>
                <w:b w:val="false"/>
                <w:color w:val="000000"/>
                <w:sz w:val="18"/>
              </w:rPr>
              <w:t>Agreement of Sublease, dated as of November 30, 2021, between Appian Corporation and Octagon,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ahoma;sans-serif" w:hAnsi="Tahoma;sans-serif"/>
                  <w:b w:val="false"/>
                  <w:color w:val="0000FF"/>
                  <w:sz w:val="18"/>
                  <w:u w:val="single"/>
                </w:rPr>
                <w:t>Previously filed as Exhibit 10.22 to the Company's Annual Report on Form 10-K (File No. 001-38098), filed with the Securities and Exchange Commission on February 17, 2022,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Software Enterprise OEM License Agreement, dated as of June 15, 2016, by and between Appian Corporation and Kx Systems, Inc.</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0">
              <w:r>
                <w:rPr>
                  <w:rStyle w:val="InternetLink"/>
                  <w:rFonts w:ascii="Tahoma;sans-serif" w:hAnsi="Tahoma;sans-serif"/>
                  <w:b w:val="false"/>
                  <w:color w:val="0000FF"/>
                  <w:sz w:val="18"/>
                  <w:u w:val="single"/>
                </w:rPr>
                <w:t>Previously filed as Exhibit 10.11 to the Company’s Registration Statement on Form S-1 (File No. 333-217510), filed with the Securities and Exchange Commission on April 27, 2017,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Addendum No. 1 to Software Enterprise OEM License Agreement, dated as of August 20, 2019, by and between Appian Corporation and Kx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1">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October 31, 2019,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Addendum No. 2 to Software Enterprise OEM License Agreement, dated as of August 31, 2023, by and between Appian Corporation and Kx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2">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November 2,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Senior Secured Credit Facilities Credit Agreement, dated as of November 3, 2022, by and among Appian Corporation, Wells Fargo Bank, National Association, Comerica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53">
              <w:r>
                <w:rPr>
                  <w:rStyle w:val="InternetLink"/>
                  <w:rFonts w:ascii="Tahoma;sans-serif" w:hAnsi="Tahoma;sans-serif"/>
                  <w:b w:val="false"/>
                  <w:color w:val="0000FF"/>
                  <w:sz w:val="18"/>
                  <w:u w:val="single"/>
                </w:rPr>
                <w:t>Previously filed as Exhibit 10.27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Joinder and First Amendment to Credit Agreement, dated as of December 13, 2022, by and among Appian Corporation, MUFG Bank, Ltd., Wells Fargo Bank, National Association, Comerica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ahoma;sans-serif" w:hAnsi="Tahoma;sans-serif"/>
                  <w:b w:val="false"/>
                  <w:color w:val="0000FF"/>
                  <w:sz w:val="18"/>
                  <w:u w:val="single"/>
                </w:rPr>
                <w:t>Previously filed as Exhibit 10.28 to the Company’s Annual Report on Form 10-K (File No. 001-38098) filed with the Securities and Exchange Commission on February 16,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Joinder and Second Amendment to Credit Agreement, dated as of February 21, 2023, by and among Appian Corporation, MUFG Bank, Ltd., Wells Fargo Bank, National Association, Comerica Bank, Customers Bank, and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May 9,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53670"/>
                <wp:effectExtent l="0" t="0" r="0" b="0"/>
                <wp:wrapNone/>
                <wp:docPr id="111" name="Frame109"/>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109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3"/>
        <w:gridCol w:w="109"/>
        <w:gridCol w:w="109"/>
        <w:gridCol w:w="109"/>
        <w:gridCol w:w="2182"/>
        <w:gridCol w:w="1762"/>
        <w:gridCol w:w="1767"/>
        <w:gridCol w:w="109"/>
        <w:gridCol w:w="109"/>
        <w:gridCol w:w="109"/>
        <w:gridCol w:w="948"/>
        <w:gridCol w:w="948"/>
        <w:gridCol w:w="1343"/>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Third Amendment to Credit Agreement, dated as of June 13, 2023, by and among Appian Corporation, MUFG Bank, Ltd., Wells Fargo Bank, National Association, Comerica Bank, Customers Bank, and Silicon Valley Bank, a division of First-Citizens Bank &amp; Trust Company (successor by purchase to the Federal Deposit Insurance Corporation as receiver for Silicon Valley Bridge Bank, N.A. (as successor to Silicon Valley Bank)).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August 3, 2023,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Joinder and Fourth Amendment to Credit Agreement, dated as of February 12, 2024, by and among Appian Corporation, Silicon Valley Bank, a division of First-Citizens Bank &amp; Trust Company, MUFG Bank, Ltd., Wells Fargo Bank, N.A., Comerica Bank, Customers Bank, The Toronto-Dominion Bank, New York Branch, and The Bank of Nova Scotia.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ahoma;sans-serif" w:hAnsi="Tahoma;sans-serif"/>
                  <w:b w:val="false"/>
                  <w:color w:val="0000FF"/>
                  <w:sz w:val="18"/>
                  <w:u w:val="single"/>
                </w:rPr>
                <w:t>Previously filed as Exhibit 10.1 to the Company’s Quarterly Report on Form 10-Q (File No. 001-38098) filed with the Securities and Exchange Commission on May 2, 2024,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Fifth Amendment to Credit Agreement, dated as of March 12, 2024, by and among Appian Corporation, Silicon Valley Bank, a division of First-Citizens Bank &amp; Trust Company, Wells Fargo Bank, N.A., Comerica Bank, MUFG Bank, Ltd., Customers Bank, The Toronto-Dominion Bank, New York Branch, and The Bank of Nova Scotia.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ahoma;sans-serif" w:hAnsi="Tahoma;sans-serif"/>
                  <w:b w:val="false"/>
                  <w:color w:val="0000FF"/>
                  <w:sz w:val="18"/>
                  <w:u w:val="single"/>
                </w:rPr>
                <w:t>Previously filed as Exhibit 10.2 to the Company’s Quarterly Report on Form 10-Q (File No. 001-38098) filed with the Securities and Exchange Commission on May 2, 2024,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Sixth Amendment to Credit Agreement, dated as of May 27, 2025, by and among Appian Corporation, Silicon Valley Bank, a division of First-Citizens Bank &amp; Trust Company, Wells Fargo Bank, N.A., Comerica Bank, MUFG Bank, Ltd., Customers Bank, The Toronto-Dominion Bank, New York Branch, and The Bank of Nova Scotia.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ahoma;sans-serif" w:hAnsi="Tahoma;sans-serif"/>
                  <w:b w:val="false"/>
                  <w:color w:val="000080"/>
                  <w:sz w:val="18"/>
                  <w:u w:val="single"/>
                </w:rPr>
                <w:t>Previously filed as Exhibit 10.</w:t>
              </w:r>
            </w:hyperlink>
            <w:hyperlink r:id="rId60">
              <w:r>
                <w:rPr>
                  <w:rStyle w:val="InternetLink"/>
                  <w:rFonts w:ascii="Tahoma;sans-serif" w:hAnsi="Tahoma;sans-serif"/>
                  <w:b w:val="false"/>
                  <w:color w:val="000080"/>
                  <w:sz w:val="18"/>
                  <w:u w:val="single"/>
                </w:rPr>
                <w:t>3</w:t>
              </w:r>
            </w:hyperlink>
            <w:hyperlink r:id="rId61">
              <w:r>
                <w:rPr>
                  <w:rStyle w:val="InternetLink"/>
                  <w:rFonts w:ascii="Tahoma;sans-serif" w:hAnsi="Tahoma;sans-serif"/>
                  <w:b w:val="false"/>
                  <w:color w:val="000080"/>
                  <w:sz w:val="18"/>
                  <w:u w:val="single"/>
                </w:rPr>
                <w:t xml:space="preserve"> to the Company’s Quarterly Report on Form 10-Q (File No. 001-38098) filed with the Securities and Exchange Commission on </w:t>
              </w:r>
            </w:hyperlink>
            <w:hyperlink r:id="rId62">
              <w:r>
                <w:rPr>
                  <w:rStyle w:val="InternetLink"/>
                  <w:rFonts w:ascii="Tahoma;sans-serif" w:hAnsi="Tahoma;sans-serif"/>
                  <w:b w:val="false"/>
                  <w:color w:val="000080"/>
                  <w:sz w:val="18"/>
                  <w:u w:val="single"/>
                </w:rPr>
                <w:t>August 7</w:t>
              </w:r>
            </w:hyperlink>
            <w:hyperlink r:id="rId63">
              <w:r>
                <w:rPr>
                  <w:rStyle w:val="InternetLink"/>
                  <w:rFonts w:ascii="Tahoma;sans-serif" w:hAnsi="Tahoma;sans-serif"/>
                  <w:b w:val="false"/>
                  <w:color w:val="000080"/>
                  <w:sz w:val="18"/>
                  <w:u w:val="single"/>
                </w:rPr>
                <w:t>, 202</w:t>
              </w:r>
            </w:hyperlink>
            <w:hyperlink r:id="rId64">
              <w:r>
                <w:rPr>
                  <w:rStyle w:val="InternetLink"/>
                  <w:rFonts w:ascii="Tahoma;sans-serif" w:hAnsi="Tahoma;sans-serif"/>
                  <w:b w:val="false"/>
                  <w:color w:val="000080"/>
                  <w:sz w:val="18"/>
                  <w:u w:val="single"/>
                </w:rPr>
                <w:t>5</w:t>
              </w:r>
            </w:hyperlink>
            <w:hyperlink r:id="rId65">
              <w:r>
                <w:rPr>
                  <w:rStyle w:val="InternetLink"/>
                  <w:rFonts w:ascii="Tahoma;sans-serif" w:hAnsi="Tahoma;sans-serif"/>
                  <w:b w:val="false"/>
                  <w:color w:val="000080"/>
                  <w:sz w:val="18"/>
                  <w:u w:val="single"/>
                </w:rPr>
                <w:t>, and incorporated herein by reference</w:t>
              </w:r>
            </w:hyperlink>
            <w:hyperlink r:id="rId66">
              <w:r>
                <w:rPr>
                  <w:rStyle w:val="InternetLink"/>
                  <w:rFonts w:ascii="Tahoma;sans-serif" w:hAnsi="Tahoma;sans-serif"/>
                  <w:b w:val="false"/>
                  <w:color w:val="000080"/>
                  <w:sz w:val="18"/>
                  <w:u w:val="single"/>
                </w:rPr>
                <w:t>.</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Seventh Amendment to Credit Agreement, dated as of September 3, 2025, by and among Appian Corporation, Silicon Valley Bank, a division of First-Citizens Bank &amp; Trust Company, Wells Fargo Bank, N.A., Comerica Bank, MUFG Bank, Ltd., Customers Bank, The Toronto-Dominion Bank, New York Branch, and The Bank of Nova Scotia.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ahoma;sans-serif" w:hAnsi="Tahoma;sans-serif"/>
                  <w:b w:val="false"/>
                  <w:color w:val="000080"/>
                  <w:sz w:val="18"/>
                  <w:u w:val="single"/>
                </w:rPr>
                <w:t>Previously filed as Exhibit 10.</w:t>
              </w:r>
            </w:hyperlink>
            <w:hyperlink r:id="rId68">
              <w:r>
                <w:rPr>
                  <w:rStyle w:val="InternetLink"/>
                  <w:rFonts w:ascii="Tahoma;sans-serif" w:hAnsi="Tahoma;sans-serif"/>
                  <w:b w:val="false"/>
                  <w:color w:val="000080"/>
                  <w:sz w:val="18"/>
                  <w:u w:val="single"/>
                </w:rPr>
                <w:t>1</w:t>
              </w:r>
            </w:hyperlink>
            <w:hyperlink r:id="rId69">
              <w:r>
                <w:rPr>
                  <w:rStyle w:val="InternetLink"/>
                  <w:rFonts w:ascii="Tahoma;sans-serif" w:hAnsi="Tahoma;sans-serif"/>
                  <w:b w:val="false"/>
                  <w:color w:val="000080"/>
                  <w:sz w:val="18"/>
                  <w:u w:val="single"/>
                </w:rPr>
                <w:t xml:space="preserve"> to the Company’s Quarterly Report on Form 10-Q (File No. 001-38098) filed with the Securities and Exchange Commission on </w:t>
              </w:r>
            </w:hyperlink>
            <w:hyperlink r:id="rId70">
              <w:r>
                <w:rPr>
                  <w:rStyle w:val="InternetLink"/>
                  <w:rFonts w:ascii="Tahoma;sans-serif" w:hAnsi="Tahoma;sans-serif"/>
                  <w:b w:val="false"/>
                  <w:color w:val="000080"/>
                  <w:sz w:val="18"/>
                  <w:u w:val="single"/>
                </w:rPr>
                <w:t>November</w:t>
              </w:r>
            </w:hyperlink>
            <w:hyperlink r:id="rId71">
              <w:r>
                <w:rPr>
                  <w:rStyle w:val="InternetLink"/>
                  <w:rFonts w:ascii="Tahoma;sans-serif" w:hAnsi="Tahoma;sans-serif"/>
                  <w:b w:val="false"/>
                  <w:color w:val="000080"/>
                  <w:sz w:val="18"/>
                  <w:u w:val="single"/>
                </w:rPr>
                <w:t xml:space="preserve"> </w:t>
              </w:r>
            </w:hyperlink>
            <w:hyperlink r:id="rId72">
              <w:r>
                <w:rPr>
                  <w:rStyle w:val="InternetLink"/>
                  <w:rFonts w:ascii="Tahoma;sans-serif" w:hAnsi="Tahoma;sans-serif"/>
                  <w:b w:val="false"/>
                  <w:color w:val="000080"/>
                  <w:sz w:val="18"/>
                  <w:u w:val="single"/>
                </w:rPr>
                <w:t>6</w:t>
              </w:r>
            </w:hyperlink>
            <w:hyperlink r:id="rId73">
              <w:r>
                <w:rPr>
                  <w:rStyle w:val="InternetLink"/>
                  <w:rFonts w:ascii="Tahoma;sans-serif" w:hAnsi="Tahoma;sans-serif"/>
                  <w:b w:val="false"/>
                  <w:color w:val="000080"/>
                  <w:sz w:val="18"/>
                  <w:u w:val="single"/>
                </w:rPr>
                <w:t>, 2025, and incorporated herein by reference.</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Insider Trading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ahoma;sans-serif" w:hAnsi="Tahoma;sans-serif"/>
                  <w:b w:val="false"/>
                  <w:color w:val="000080"/>
                  <w:sz w:val="18"/>
                  <w:u w:val="single"/>
                </w:rPr>
                <w:t>Previously filed as Exhibit 1</w:t>
              </w:r>
            </w:hyperlink>
            <w:hyperlink r:id="rId75">
              <w:r>
                <w:rPr>
                  <w:rStyle w:val="InternetLink"/>
                  <w:rFonts w:ascii="Tahoma;sans-serif" w:hAnsi="Tahoma;sans-serif"/>
                  <w:b w:val="false"/>
                  <w:color w:val="000080"/>
                  <w:sz w:val="18"/>
                  <w:u w:val="single"/>
                </w:rPr>
                <w:t>9</w:t>
              </w:r>
            </w:hyperlink>
            <w:hyperlink r:id="rId76">
              <w:r>
                <w:rPr>
                  <w:rStyle w:val="InternetLink"/>
                  <w:rFonts w:ascii="Tahoma;sans-serif" w:hAnsi="Tahoma;sans-serif"/>
                  <w:b w:val="false"/>
                  <w:color w:val="000080"/>
                  <w:sz w:val="18"/>
                  <w:u w:val="single"/>
                </w:rPr>
                <w:t xml:space="preserve"> to the Company’s Annual Report on Form 10-K (File No. 001-38098) filed with the Securities and Exchange Commission on February 1</w:t>
              </w:r>
            </w:hyperlink>
            <w:hyperlink r:id="rId77">
              <w:r>
                <w:rPr>
                  <w:rStyle w:val="InternetLink"/>
                  <w:rFonts w:ascii="Tahoma;sans-serif" w:hAnsi="Tahoma;sans-serif"/>
                  <w:b w:val="false"/>
                  <w:color w:val="000080"/>
                  <w:sz w:val="18"/>
                  <w:u w:val="single"/>
                </w:rPr>
                <w:t>9</w:t>
              </w:r>
            </w:hyperlink>
            <w:hyperlink r:id="rId78">
              <w:r>
                <w:rPr>
                  <w:rStyle w:val="InternetLink"/>
                  <w:rFonts w:ascii="Tahoma;sans-serif" w:hAnsi="Tahoma;sans-serif"/>
                  <w:b w:val="false"/>
                  <w:color w:val="000080"/>
                  <w:sz w:val="18"/>
                  <w:u w:val="single"/>
                </w:rPr>
                <w:t>, 202</w:t>
              </w:r>
            </w:hyperlink>
            <w:hyperlink r:id="rId79">
              <w:r>
                <w:rPr>
                  <w:rStyle w:val="InternetLink"/>
                  <w:rFonts w:ascii="Tahoma;sans-serif" w:hAnsi="Tahoma;sans-serif"/>
                  <w:b w:val="false"/>
                  <w:color w:val="000080"/>
                  <w:sz w:val="18"/>
                  <w:u w:val="single"/>
                </w:rPr>
                <w:t>5</w:t>
              </w:r>
            </w:hyperlink>
            <w:hyperlink r:id="rId80">
              <w:r>
                <w:rPr>
                  <w:rStyle w:val="InternetLink"/>
                  <w:rFonts w:ascii="Tahoma;sans-serif" w:hAnsi="Tahoma;sans-serif"/>
                  <w:b w:val="false"/>
                  <w:color w:val="000080"/>
                  <w:sz w:val="18"/>
                  <w:u w:val="single"/>
                </w:rPr>
                <w:t>, and incorporated herein by reference</w:t>
              </w:r>
            </w:hyperlink>
            <w:hyperlink r:id="rId81">
              <w:r>
                <w:rPr>
                  <w:rStyle w:val="InternetLink"/>
                  <w:rFonts w:ascii="Tahoma;sans-serif" w:hAnsi="Tahoma;sans-serif"/>
                  <w:b w:val="false"/>
                  <w:color w:val="000080"/>
                  <w:sz w:val="18"/>
                  <w:u w:val="single"/>
                </w:rPr>
                <w:t>.</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Subsidiaries of Appian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5ex211.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Consent of BDO USA, P.C.,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5ex231.htm">
              <w:r>
                <w:rPr>
                  <w:rStyle w:val="InternetLink"/>
                  <w:rFonts w:ascii="Tahoma;sans-serif" w:hAnsi="Tahoma;sans-serif"/>
                  <w:b w:val="false"/>
                  <w:color w:val="0000FF"/>
                  <w:sz w:val="18"/>
                  <w:u w:val="single"/>
                </w:rPr>
                <w:t>Filed herewith.</w:t>
              </w:r>
            </w:hyperlink>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Power of Attorney. Reference is made to the signature page 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Filed herewith.</w:t>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53670"/>
                <wp:effectExtent l="0" t="0" r="0" b="0"/>
                <wp:wrapNone/>
                <wp:docPr id="112" name="Frame110"/>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110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3"/>
        <w:gridCol w:w="179"/>
        <w:gridCol w:w="181"/>
        <w:gridCol w:w="109"/>
        <w:gridCol w:w="109"/>
        <w:gridCol w:w="109"/>
        <w:gridCol w:w="1490"/>
        <w:gridCol w:w="1490"/>
        <w:gridCol w:w="1493"/>
        <w:gridCol w:w="109"/>
        <w:gridCol w:w="109"/>
        <w:gridCol w:w="109"/>
        <w:gridCol w:w="1359"/>
        <w:gridCol w:w="1359"/>
        <w:gridCol w:w="1797"/>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 of Principal Executive Officer Pursuant to Rules 13a-14(a) and 15d-14(a) under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5ex311.htm">
              <w:r>
                <w:rPr>
                  <w:rStyle w:val="InternetLink"/>
                  <w:rFonts w:ascii="Tahoma;sans-serif" w:hAnsi="Tahoma;sans-serif"/>
                  <w:b w:val="false"/>
                  <w:color w:val="0000FF"/>
                  <w:sz w:val="18"/>
                  <w:u w:val="single"/>
                </w:rPr>
                <w:t>Filed herewith.</w:t>
              </w:r>
            </w:hyperlink>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Certification of Principal Financial Officer Pursuant to Rules 13a-14(a) and 15d-14(a) under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5ex312.htm">
              <w:r>
                <w:rPr>
                  <w:rStyle w:val="InternetLink"/>
                  <w:rFonts w:ascii="Tahoma;sans-serif" w:hAnsi="Tahoma;sans-serif"/>
                  <w:b w:val="false"/>
                  <w:color w:val="0000FF"/>
                  <w:sz w:val="18"/>
                  <w:u w:val="single"/>
                </w:rPr>
                <w:t>Filed herewith.</w:t>
              </w:r>
            </w:hyperlink>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ahoma;sans-serif" w:hAnsi="Tahoma;sans-serif"/>
                <w:b w:val="false"/>
                <w:color w:val="000000"/>
                <w:sz w:val="18"/>
              </w:rPr>
              <w:t>Certifications of Principal Executive Officer and Principal Financial Officer Pursuant to 18 U.S.C. Section 1350, as Adopted Pursuant to Section 906 of the Sarbanes-Oxley Act of 2002.</w:t>
            </w:r>
            <w:r>
              <w:rPr>
                <w:rFonts w:ascii="Tahoma;sans-serif" w:hAnsi="Tahoma;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ppn12312025ex321.htm">
              <w:r>
                <w:rPr>
                  <w:rStyle w:val="InternetLink"/>
                  <w:rFonts w:ascii="Tahoma;sans-serif" w:hAnsi="Tahoma;sans-serif"/>
                  <w:b w:val="false"/>
                  <w:color w:val="0000FF"/>
                  <w:sz w:val="18"/>
                  <w:u w:val="single"/>
                </w:rPr>
                <w:t>Filed herewith.</w:t>
              </w:r>
            </w:hyperlink>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18"/>
              </w:rPr>
            </w:pPr>
            <w:r>
              <w:rPr>
                <w:rFonts w:ascii="Tahoma;sans-serif" w:hAnsi="Tahoma;sans-serif"/>
                <w:b w:val="false"/>
                <w:color w:val="000000"/>
                <w:sz w:val="18"/>
              </w:rPr>
              <w:t>Appian Corporation Compensation Recoupment Policy dated October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ahoma;sans-serif" w:hAnsi="Tahoma;sans-serif"/>
                  <w:b w:val="false"/>
                  <w:color w:val="0000FF"/>
                  <w:sz w:val="18"/>
                  <w:u w:val="single"/>
                </w:rPr>
                <w:t>Previously filed as Exhibit 97 to the Company’s Annual Report on Form 10-K (File No. 001-38098) filed with the Securities and Exchange Commission on February 15, 2024, and incorporated herein by reference.</w:t>
              </w:r>
            </w:hyperlink>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18"/>
              </w:rPr>
            </w:pPr>
            <w:r>
              <w:rPr>
                <w:rFonts w:ascii="Tahoma;sans-serif" w:hAnsi="Tahoma;sans-serif"/>
                <w:b w:val="false"/>
                <w:color w:val="000000"/>
                <w:sz w:val="18"/>
              </w:rPr>
              <w:t>Attached.</w:t>
            </w:r>
          </w:p>
        </w:tc>
      </w:tr>
    </w:tbl>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Indicates management contract or compensatory plan.</w:t>
      </w:r>
    </w:p>
    <w:p>
      <w:pPr>
        <w:pStyle w:val="TextBody"/>
        <w:bidi w:val="0"/>
        <w:spacing w:lineRule="auto" w:line="288" w:before="0" w:after="0"/>
        <w:jc w:val="left"/>
        <w:rPr>
          <w:color w:val="000000"/>
        </w:rPr>
      </w:pPr>
      <w:r>
        <w:rPr>
          <w:color w:val="000000"/>
        </w:rPr>
        <w:t>†     </w:t>
      </w:r>
      <w:r>
        <w:rPr>
          <w:rFonts w:ascii="Tahoma;sans-serif" w:hAnsi="Tahoma;sans-serif"/>
          <w:b w:val="false"/>
          <w:color w:val="000000"/>
          <w:sz w:val="16"/>
        </w:rPr>
        <w:t>Confidential treatment has been granted as to certain portions of this exhibit. These portions have been omitted and filed separately with the Securities and Exchange Commission.</w:t>
      </w:r>
    </w:p>
    <w:p>
      <w:pPr>
        <w:pStyle w:val="TextBody"/>
        <w:bidi w:val="0"/>
        <w:spacing w:lineRule="auto" w:line="288" w:before="0" w:after="0"/>
        <w:jc w:val="left"/>
        <w:rPr>
          <w:rFonts w:ascii="Tahoma;sans-serif" w:hAnsi="Tahoma;sans-serif"/>
          <w:b w:val="false"/>
          <w:color w:val="000000"/>
          <w:sz w:val="16"/>
        </w:rPr>
      </w:pPr>
      <w:r>
        <w:rPr>
          <w:rFonts w:ascii="Tahoma;sans-serif" w:hAnsi="Tahoma;sans-serif"/>
          <w:b w:val="false"/>
          <w:color w:val="000000"/>
          <w:sz w:val="16"/>
        </w:rPr>
        <w:t>*     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ahoma;sans-serif" w:hAnsi="Tahoma;sans-serif"/>
          <w:b/>
          <w:color w:val="000000"/>
          <w:sz w:val="20"/>
        </w:rPr>
      </w:pPr>
      <w:r>
        <w:rPr>
          <w:rFonts w:ascii="Tahoma;sans-serif" w:hAnsi="Tahoma;sans-serif"/>
          <w:b/>
          <w:color w:val="000000"/>
          <w:sz w:val="20"/>
        </w:rPr>
        <w:t>Item 16. Form 10-K Summary.</w:t>
      </w:r>
    </w:p>
    <w:p>
      <w:pPr>
        <w:pStyle w:val="TextBody"/>
        <w:bidi w:val="0"/>
        <w:spacing w:before="0" w:after="0"/>
        <w:ind w:left="0" w:right="0" w:firstLine="36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53670"/>
                <wp:effectExtent l="0" t="0" r="0" b="0"/>
                <wp:wrapNone/>
                <wp:docPr id="113" name="Frame111"/>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SIGNATURE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30"/>
        <w:gridCol w:w="202"/>
        <w:gridCol w:w="202"/>
        <w:gridCol w:w="202"/>
        <w:gridCol w:w="202"/>
        <w:gridCol w:w="205"/>
        <w:gridCol w:w="123"/>
        <w:gridCol w:w="123"/>
        <w:gridCol w:w="123"/>
        <w:gridCol w:w="123"/>
        <w:gridCol w:w="123"/>
        <w:gridCol w:w="123"/>
        <w:gridCol w:w="1348"/>
        <w:gridCol w:w="1224"/>
        <w:gridCol w:w="1229"/>
        <w:gridCol w:w="123"/>
        <w:gridCol w:w="123"/>
        <w:gridCol w:w="123"/>
        <w:gridCol w:w="1312"/>
        <w:gridCol w:w="1130"/>
        <w:gridCol w:w="1612"/>
      </w:tblGrid>
      <w:tr>
        <w:trPr/>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APPIAN CORPORATION</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February 19, 2026</w:t>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By:</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/s/ Srdjan Tanjga</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Name: Matthew Calkins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Name: Srdjan Tanjga</w:t>
            </w:r>
          </w:p>
        </w:tc>
      </w:tr>
      <w:tr>
        <w:trPr/>
        <w:tc>
          <w:tcPr>
            <w:tcW w:w="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Title: Chief Executive Officer and Chairman of the Board (Principal Executive Officer)</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Title: Chief Financial Officer (Principal Financial Officer and Principal Accounting Officer)</w:t>
            </w:r>
          </w:p>
        </w:tc>
      </w:tr>
    </w:tbl>
    <w:p>
      <w:pPr>
        <w:pStyle w:val="TextBody"/>
        <w:bidi w:val="0"/>
        <w:spacing w:before="0" w:after="0"/>
        <w:jc w:val="both"/>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KNOW ALL PERSONS BY THESE PRESENTS, that each person whose signature appears below hereby constitutes and appoints Matthew Calkins, Srdjan Tanjga, and Jaye Campbell,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53670"/>
                <wp:effectExtent l="0" t="0" r="0" b="0"/>
                <wp:wrapNone/>
                <wp:docPr id="114" name="Frame112"/>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rFonts w:ascii="Tahoma;sans-serif" w:hAnsi="Tahoma;sans-serif"/>
          <w:b w:val="false"/>
          <w:color w:val="000000"/>
          <w:sz w:val="20"/>
        </w:rPr>
      </w:pPr>
      <w:r>
        <w:rPr>
          <w:rFonts w:ascii="Tahoma;sans-serif" w:hAnsi="Tahoma;sans-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ind w:left="0" w:right="0" w:firstLine="360"/>
        <w:jc w:val="left"/>
        <w:rPr/>
      </w:pPr>
      <w:r>
        <w:rPr/>
      </w:r>
    </w:p>
    <w:tbl>
      <w:tblPr>
        <w:tblW w:w="8272" w:type="dxa"/>
        <w:jc w:val="left"/>
        <w:tblInd w:w="0" w:type="dxa"/>
        <w:tblLayout w:type="fixed"/>
        <w:tblCellMar>
          <w:top w:w="28" w:type="dxa"/>
          <w:left w:w="28" w:type="dxa"/>
          <w:bottom w:w="28" w:type="dxa"/>
          <w:right w:w="28" w:type="dxa"/>
        </w:tblCellMar>
      </w:tblPr>
      <w:tblGrid>
        <w:gridCol w:w="928"/>
        <w:gridCol w:w="815"/>
        <w:gridCol w:w="821"/>
        <w:gridCol w:w="109"/>
        <w:gridCol w:w="109"/>
        <w:gridCol w:w="109"/>
        <w:gridCol w:w="1105"/>
        <w:gridCol w:w="1105"/>
        <w:gridCol w:w="1120"/>
        <w:gridCol w:w="109"/>
        <w:gridCol w:w="109"/>
        <w:gridCol w:w="109"/>
        <w:gridCol w:w="502"/>
        <w:gridCol w:w="502"/>
        <w:gridCol w:w="720"/>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Date</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Matthew Calkins</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Matthew Calkins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Chief Executive Officer and</w:t>
            </w:r>
          </w:p>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 xml:space="preserve">Chairman of the Board </w:t>
            </w:r>
          </w:p>
          <w:p>
            <w:pPr>
              <w:pStyle w:val="TableContents"/>
              <w:bidi w:val="0"/>
              <w:spacing w:lineRule="auto" w:line="240" w:before="0" w:after="15"/>
              <w:jc w:val="center"/>
              <w:rPr>
                <w:rFonts w:ascii="Tahoma;sans-serif" w:hAnsi="Tahoma;sans-serif"/>
                <w:b w:val="false"/>
                <w:i/>
                <w:color w:val="000000"/>
                <w:sz w:val="20"/>
              </w:rPr>
            </w:pPr>
            <w:r>
              <w:rPr>
                <w:rFonts w:ascii="Tahoma;sans-serif" w:hAnsi="Tahoma;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Srdjan Tanjga</w:t>
            </w:r>
          </w:p>
          <w:p>
            <w:pPr>
              <w:pStyle w:val="TableContents"/>
              <w:bidi w:val="0"/>
              <w:spacing w:lineRule="auto" w:line="240" w:before="0" w:after="0"/>
              <w:jc w:val="center"/>
              <w:rPr>
                <w:rFonts w:ascii="Tahoma;sans-serif" w:hAnsi="Tahoma;sans-serif"/>
                <w:b/>
                <w:color w:val="000000"/>
                <w:sz w:val="20"/>
                <w:u w:val="single"/>
              </w:rPr>
            </w:pPr>
            <w:r>
              <w:rPr>
                <w:rFonts w:ascii="Tahoma;sans-serif" w:hAnsi="Tahoma;sans-serif"/>
                <w:b/>
                <w:color w:val="000000"/>
                <w:sz w:val="20"/>
                <w:u w:val="single"/>
              </w:rPr>
              <w:t>Srdjan Tanjga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Chief Financial Officer</w:t>
            </w:r>
          </w:p>
          <w:p>
            <w:pPr>
              <w:pStyle w:val="TableContents"/>
              <w:bidi w:val="0"/>
              <w:spacing w:lineRule="auto" w:line="240" w:before="0" w:after="15"/>
              <w:jc w:val="center"/>
              <w:rPr>
                <w:rFonts w:ascii="Tahoma;sans-serif" w:hAnsi="Tahoma;sans-serif"/>
                <w:b w:val="false"/>
                <w:i/>
                <w:color w:val="000000"/>
                <w:sz w:val="20"/>
              </w:rPr>
            </w:pPr>
            <w:r>
              <w:rPr>
                <w:rFonts w:ascii="Tahoma;sans-serif" w:hAnsi="Tahoma;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Michael Beckley</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 xml:space="preserve">Michael Beckley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Chief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Robert Kramer</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Robert Kramer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General Manager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Shirley Edwards</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Shirley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Carl ”Boe” Hartman II</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Carl “Boe” Hartman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Barbara “Bobbie” Kilberg</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Barbara “Bobbie” Kilberg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David Link</w:t>
            </w:r>
          </w:p>
          <w:p>
            <w:pPr>
              <w:pStyle w:val="TableContents"/>
              <w:bidi w:val="0"/>
              <w:spacing w:lineRule="auto" w:line="240" w:before="0" w:after="0"/>
              <w:jc w:val="center"/>
              <w:rPr>
                <w:rFonts w:ascii="Tahoma;sans-serif" w:hAnsi="Tahoma;sans-serif"/>
                <w:b/>
                <w:color w:val="000000"/>
                <w:sz w:val="20"/>
                <w:u w:val="single"/>
              </w:rPr>
            </w:pPr>
            <w:r>
              <w:rPr>
                <w:rFonts w:ascii="Tahoma;sans-serif" w:hAnsi="Tahoma;sans-serif"/>
                <w:b/>
                <w:color w:val="000000"/>
                <w:sz w:val="20"/>
                <w:u w:val="single"/>
              </w:rPr>
              <w:t>David Link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Mark Lynch</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 xml:space="preserve">Mark Lynch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r>
        <w:trPr/>
        <w:tc>
          <w:tcPr>
            <w:tcW w:w="256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ahoma;sans-serif" w:hAnsi="Tahoma;sans-serif"/>
                <w:b w:val="false"/>
                <w:color w:val="000000"/>
                <w:sz w:val="20"/>
                <w:u w:val="single"/>
              </w:rPr>
            </w:pPr>
            <w:r>
              <w:rPr>
                <w:rFonts w:ascii="Tahoma;sans-serif" w:hAnsi="Tahoma;sans-serif"/>
                <w:b w:val="false"/>
                <w:color w:val="000000"/>
                <w:sz w:val="20"/>
                <w:u w:val="single"/>
              </w:rPr>
              <w:t>/s/ William McCarthy</w:t>
            </w:r>
          </w:p>
          <w:p>
            <w:pPr>
              <w:pStyle w:val="TableContents"/>
              <w:bidi w:val="0"/>
              <w:spacing w:lineRule="auto" w:line="240" w:before="0" w:after="0"/>
              <w:jc w:val="center"/>
              <w:rPr>
                <w:rFonts w:ascii="Tahoma;sans-serif" w:hAnsi="Tahoma;sans-serif"/>
                <w:b/>
                <w:color w:val="000000"/>
                <w:sz w:val="20"/>
              </w:rPr>
            </w:pPr>
            <w:r>
              <w:rPr>
                <w:rFonts w:ascii="Tahoma;sans-serif" w:hAnsi="Tahoma;sans-serif"/>
                <w:b/>
                <w:color w:val="000000"/>
                <w:sz w:val="20"/>
              </w:rPr>
              <w:t>William McCarthy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ahoma;sans-serif" w:hAnsi="Tahoma;sans-serif"/>
                <w:b w:val="false"/>
                <w:color w:val="000000"/>
                <w:sz w:val="20"/>
              </w:rPr>
            </w:pPr>
            <w:r>
              <w:rPr>
                <w:rFonts w:ascii="Tahoma;sans-serif" w:hAnsi="Tahoma;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ahoma;sans-serif" w:hAnsi="Tahoma;sans-serif"/>
                <w:b w:val="false"/>
                <w:color w:val="000000"/>
                <w:sz w:val="20"/>
              </w:rPr>
            </w:pPr>
            <w:r>
              <w:rPr>
                <w:rFonts w:ascii="Tahoma;sans-serif" w:hAnsi="Tahoma;sans-serif"/>
                <w:b w:val="false"/>
                <w:color w:val="000000"/>
                <w:sz w:val="20"/>
              </w:rPr>
              <w:t>February 19,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53670"/>
                <wp:effectExtent l="0" t="0" r="0" b="0"/>
                <wp:wrapNone/>
                <wp:docPr id="115" name="Frame113"/>
                <a:graphic xmlns:a="http://schemas.openxmlformats.org/drawingml/2006/main">
                  <a:graphicData uri="http://schemas.microsoft.com/office/word/2010/wordprocessingShape">
                    <wps:wsp>
                      <wps:cNvSpPr txBox="1"/>
                      <wps:spPr>
                        <a:xfrm>
                          <a:off x="0" y="0"/>
                          <a:ext cx="6480175" cy="153670"/>
                        </a:xfrm>
                        <a:prstGeom prst="rect"/>
                        <a:solidFill>
                          <a:srgbClr val="FFFFFF"/>
                        </a:solidFill>
                      </wps:spPr>
                      <wps:txb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ahoma;sans-serif" w:hAnsi="Tahoma;sans-serif"/>
                          <w:b w:val="false"/>
                          <w:color w:val="000000"/>
                          <w:sz w:val="20"/>
                        </w:rPr>
                      </w:pPr>
                      <w:r>
                        <w:rPr>
                          <w:rFonts w:ascii="Tahoma;sans-serif" w:hAnsi="Tahoma;sans-serif"/>
                          <w:b w:val="false"/>
                          <w:color w:val="000000"/>
                          <w:sz w:val="20"/>
                        </w:rPr>
                        <w:t>113</w:t>
                      </w:r>
                    </w:p>
                  </w:txbxContent>
                </v:textbox>
                <w10:wrap type="none"/>
              </v:rect>
            </w:pict>
          </mc:Fallback>
        </mc:AlternateContent>
      </w:r>
    </w:p>
    <w:p>
      <w:pPr>
        <w:pStyle w:val="TextBody"/>
        <w:bidi w:val="0"/>
        <w:spacing w:lineRule="auto" w:line="276" w:before="0" w:after="0"/>
        <w:jc w:val="right"/>
        <w:rPr>
          <w:rFonts w:ascii="Tahoma;sans-serif" w:hAnsi="Tahoma;sans-serif"/>
          <w:b/>
          <w:color w:val="000000"/>
          <w:sz w:val="20"/>
        </w:rPr>
      </w:pPr>
      <w:r>
        <w:rPr>
          <w:rFonts w:ascii="Tahoma;sans-serif" w:hAnsi="Tahoma;sans-serif"/>
          <w:b/>
          <w:color w:val="000000"/>
          <w:sz w:val="20"/>
        </w:rPr>
        <w:t>Exhibit 21.1</w:t>
      </w:r>
    </w:p>
    <w:p>
      <w:pPr>
        <w:pStyle w:val="TextBody"/>
        <w:bidi w:val="0"/>
        <w:spacing w:before="0" w:after="0"/>
        <w:jc w:val="center"/>
        <w:rPr/>
      </w:pPr>
      <w:r>
        <w:rPr/>
      </w:r>
    </w:p>
    <w:p>
      <w:pPr>
        <w:pStyle w:val="TextBody"/>
        <w:bidi w:val="0"/>
        <w:spacing w:lineRule="auto" w:line="276" w:before="0" w:after="0"/>
        <w:jc w:val="center"/>
        <w:rPr>
          <w:rFonts w:ascii="Tahoma;sans-serif" w:hAnsi="Tahoma;sans-serif"/>
          <w:b/>
          <w:color w:val="000000"/>
          <w:sz w:val="20"/>
        </w:rPr>
      </w:pPr>
      <w:r>
        <w:rPr>
          <w:rFonts w:ascii="Tahoma;sans-serif" w:hAnsi="Tahoma;sans-serif"/>
          <w:b/>
          <w:color w:val="000000"/>
          <w:sz w:val="20"/>
        </w:rPr>
        <w:t>Subsidiaries of Appian Corporation</w:t>
      </w:r>
    </w:p>
    <w:tbl>
      <w:tblPr>
        <w:tblW w:w="7030" w:type="dxa"/>
        <w:jc w:val="left"/>
        <w:tblInd w:w="0" w:type="dxa"/>
        <w:tblLayout w:type="fixed"/>
        <w:tblCellMar>
          <w:top w:w="28" w:type="dxa"/>
          <w:left w:w="28" w:type="dxa"/>
          <w:bottom w:w="28" w:type="dxa"/>
          <w:right w:w="28" w:type="dxa"/>
        </w:tblCellMar>
      </w:tblPr>
      <w:tblGrid>
        <w:gridCol w:w="1537"/>
        <w:gridCol w:w="1349"/>
        <w:gridCol w:w="1358"/>
        <w:gridCol w:w="109"/>
        <w:gridCol w:w="109"/>
        <w:gridCol w:w="109"/>
        <w:gridCol w:w="719"/>
        <w:gridCol w:w="719"/>
        <w:gridCol w:w="1021"/>
      </w:tblGrid>
      <w:tr>
        <w:trPr/>
        <w:tc>
          <w:tcPr>
            <w:tcW w:w="1537"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color w:val="000000"/>
                <w:sz w:val="20"/>
              </w:rPr>
            </w:pPr>
            <w:r>
              <w:rPr>
                <w:rFonts w:ascii="Tahoma;sans-serif" w:hAnsi="Tahoma;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ahoma;sans-serif" w:hAnsi="Tahoma;sans-serif"/>
                <w:b/>
                <w:color w:val="000000"/>
                <w:sz w:val="20"/>
              </w:rPr>
            </w:pPr>
            <w:r>
              <w:rPr>
                <w:rFonts w:ascii="Tahoma;sans-serif" w:hAnsi="Tahoma;sans-serif"/>
                <w:b/>
                <w:color w:val="000000"/>
                <w:sz w:val="20"/>
              </w:rPr>
              <w:t>Jurisdiction of Organization</w:t>
            </w:r>
          </w:p>
        </w:tc>
      </w:tr>
      <w:tr>
        <w:trPr/>
        <w:tc>
          <w:tcPr>
            <w:tcW w:w="4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Europe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England and Wales</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International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Switzerland (Zug Canton)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Netherlands</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Australia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France</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Italy</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Software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Germany</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Singapore</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Spain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Sweden 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Sweden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Japan GK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Japan</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Canada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Canada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Mexico Software SRL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Mexico</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Computer Technologies India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India</w:t>
            </w:r>
          </w:p>
        </w:tc>
      </w:tr>
      <w:tr>
        <w:trPr/>
        <w:tc>
          <w:tcPr>
            <w:tcW w:w="42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Appian Portugal Unipessoal LDA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ahoma;sans-serif" w:hAnsi="Tahoma;sans-serif"/>
                <w:b w:val="false"/>
                <w:color w:val="000000"/>
                <w:sz w:val="20"/>
              </w:rPr>
            </w:pPr>
            <w:r>
              <w:rPr>
                <w:rFonts w:ascii="Tahoma;sans-serif" w:hAnsi="Tahoma;sans-serif"/>
                <w:b w:val="false"/>
                <w:color w:val="000000"/>
                <w:sz w:val="20"/>
              </w:rPr>
              <w:t>Portugal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ahoma;sans-serif" w:hAnsi="Tahoma;sans-serif"/>
          <w:b w:val="false"/>
          <w:color w:val="000000"/>
          <w:sz w:val="20"/>
          <w:u w:val="single"/>
        </w:rPr>
      </w:pPr>
      <w:r>
        <w:rPr>
          <w:rFonts w:ascii="Tahoma;sans-serif" w:hAnsi="Tahoma;sans-serif"/>
          <w:b w:val="false"/>
          <w:color w:val="000000"/>
          <w:sz w:val="20"/>
          <w:u w:val="single"/>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We hereby consent to the incorporation by reference in the Registration Statements on Form S-3 (No. 333-258903) and Form S-8 (No. 333-218342 and 333-259268) of Appian Corporation (“the Company”) of our reports dated February 19, 2026, relating to the consolidated financial statements, and the effectiveness of the Company’s internal control over financial reporting, which appear in this Annual Report on Form 10-K.</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ahoma;sans-serif" w:hAnsi="Tahoma;sans-serif"/>
          <w:b w:val="false"/>
          <w:color w:val="000000"/>
          <w:sz w:val="20"/>
        </w:rPr>
      </w:pPr>
      <w:r>
        <w:rPr>
          <w:rFonts w:ascii="Tahoma;sans-serif" w:hAnsi="Tahoma;sans-serif"/>
          <w:b w:val="false"/>
          <w:color w:val="000000"/>
          <w:sz w:val="20"/>
        </w:rPr>
        <w:t>/s/ BDO USA, P.C.</w:t>
      </w:r>
    </w:p>
    <w:p>
      <w:pPr>
        <w:pStyle w:val="TextBody"/>
        <w:bidi w:val="0"/>
        <w:spacing w:lineRule="auto" w:line="288" w:before="0" w:after="0"/>
        <w:jc w:val="both"/>
        <w:rPr>
          <w:rFonts w:ascii="Tahoma;sans-serif" w:hAnsi="Tahoma;sans-serif"/>
          <w:b w:val="false"/>
          <w:color w:val="000000"/>
          <w:sz w:val="20"/>
        </w:rPr>
      </w:pPr>
      <w:r>
        <w:rPr>
          <w:rFonts w:ascii="Tahoma;sans-serif" w:hAnsi="Tahoma;sans-serif"/>
          <w:b w:val="false"/>
          <w:color w:val="000000"/>
          <w:sz w:val="20"/>
        </w:rPr>
        <w:t>McLean, Virginia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both"/>
        <w:rPr>
          <w:rFonts w:ascii="Tahoma;sans-serif" w:hAnsi="Tahoma;sans-serif"/>
          <w:b w:val="false"/>
          <w:color w:val="000000"/>
          <w:sz w:val="20"/>
        </w:rPr>
      </w:pPr>
      <w:r>
        <w:rPr>
          <w:rFonts w:ascii="Tahoma;sans-serif" w:hAnsi="Tahoma;sans-serif"/>
          <w:b w:val="false"/>
          <w:color w:val="000000"/>
          <w:sz w:val="20"/>
        </w:rPr>
        <w:t>February 19,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 OF PRINCIPAL EXECUTIVE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ahoma;sans-serif" w:hAnsi="Tahoma;sans-serif"/>
          <w:b w:val="false"/>
          <w:color w:val="000000"/>
          <w:sz w:val="20"/>
        </w:rPr>
      </w:pPr>
      <w:r>
        <w:rPr>
          <w:rFonts w:ascii="Tahoma;sans-serif" w:hAnsi="Tahoma;sans-serif"/>
          <w:b w:val="false"/>
          <w:color w:val="000000"/>
          <w:sz w:val="20"/>
        </w:rPr>
        <w:t>I, Matthew Calkins,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1.</w:t>
      </w:r>
      <w:r>
        <w:rPr>
          <w:color w:val="000000"/>
        </w:rPr>
        <w:t xml:space="preserve">                       </w:t>
      </w:r>
      <w:r>
        <w:rPr>
          <w:rFonts w:ascii="Tahoma;sans-serif" w:hAnsi="Tahoma;sans-serif"/>
          <w:b w:val="false"/>
          <w:color w:val="000000"/>
          <w:sz w:val="20"/>
        </w:rPr>
        <w:t>I have reviewed this Annual Report on Form 10-K for the period ended December 31, 2025 of Appian Corporation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2.</w:t>
      </w:r>
      <w:r>
        <w:rPr>
          <w:color w:val="000000"/>
        </w:rPr>
        <w:t xml:space="preserve">                       </w:t>
      </w:r>
      <w:r>
        <w:rPr>
          <w:rFonts w:ascii="Tahoma;sans-serif" w:hAnsi="Tahoma;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3.</w:t>
      </w:r>
      <w:r>
        <w:rPr>
          <w:color w:val="000000"/>
        </w:rPr>
        <w:t xml:space="preserve">                       </w:t>
      </w:r>
      <w:r>
        <w:rPr>
          <w:rFonts w:ascii="Tahoma;sans-serif" w:hAnsi="Tahoma;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4.</w:t>
      </w:r>
      <w:r>
        <w:rPr>
          <w:color w:val="000000"/>
        </w:rPr>
        <w:t xml:space="preserve">                       </w:t>
      </w:r>
      <w:r>
        <w:rPr>
          <w:rFonts w:ascii="Tahoma;sans-serif" w:hAnsi="Tahoma;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ahoma;sans-serif" w:hAnsi="Tahoma;sans-serif"/>
          <w:b w:val="false"/>
          <w:color w:val="000000"/>
          <w:sz w:val="20"/>
        </w:rPr>
      </w:pPr>
      <w:r>
        <w:rPr>
          <w:rFonts w:ascii="Tahoma;sans-serif" w:hAnsi="Tahoma;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(c)</w:t>
      </w:r>
      <w:r>
        <w:rPr>
          <w:color w:val="000000"/>
        </w:rPr>
        <w:t xml:space="preserve">                  </w:t>
      </w:r>
      <w:r>
        <w:rPr>
          <w:rFonts w:ascii="Tahoma;sans-serif" w:hAnsi="Tahoma;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(d)</w:t>
      </w:r>
      <w:r>
        <w:rPr>
          <w:color w:val="000000"/>
        </w:rPr>
        <w:t xml:space="preserve">                   </w:t>
      </w:r>
      <w:r>
        <w:rPr>
          <w:rFonts w:ascii="Tahoma;sans-serif" w:hAnsi="Tahoma;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5.</w:t>
      </w:r>
      <w:r>
        <w:rPr>
          <w:color w:val="000000"/>
        </w:rPr>
        <w:t xml:space="preserve">                       </w:t>
      </w:r>
      <w:r>
        <w:rPr>
          <w:rFonts w:ascii="Tahoma;sans-serif" w:hAnsi="Tahoma;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(b)</w:t>
      </w:r>
      <w:r>
        <w:rPr>
          <w:color w:val="000000"/>
        </w:rPr>
        <w:t xml:space="preserve">                  </w:t>
      </w:r>
      <w:r>
        <w:rPr>
          <w:rFonts w:ascii="Tahoma;sans-serif" w:hAnsi="Tahoma;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799" w:type="dxa"/>
        <w:jc w:val="left"/>
        <w:tblInd w:w="0" w:type="dxa"/>
        <w:tblLayout w:type="fixed"/>
        <w:tblCellMar>
          <w:top w:w="28" w:type="dxa"/>
          <w:left w:w="28" w:type="dxa"/>
          <w:bottom w:w="28" w:type="dxa"/>
          <w:right w:w="28" w:type="dxa"/>
        </w:tblCellMar>
      </w:tblPr>
      <w:tblGrid>
        <w:gridCol w:w="830"/>
        <w:gridCol w:w="729"/>
        <w:gridCol w:w="736"/>
        <w:gridCol w:w="733"/>
        <w:gridCol w:w="733"/>
        <w:gridCol w:w="1038"/>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ahoma;sans-serif" w:hAnsi="Tahoma;sans-serif"/>
                <w:b w:val="false"/>
                <w:color w:val="000000"/>
                <w:sz w:val="20"/>
              </w:rPr>
              <w:t>Date: February 19, 2026</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Matthew Calkins</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Chief Executive Officer</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 OF PRINCIPAL FINANCIAL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SECTION 302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ahoma;sans-serif" w:hAnsi="Tahoma;sans-serif"/>
          <w:b w:val="false"/>
          <w:color w:val="000000"/>
          <w:sz w:val="20"/>
        </w:rPr>
        <w:t xml:space="preserve">I, </w:t>
      </w:r>
      <w:r>
        <w:rPr>
          <w:rFonts w:ascii="Tahoma;sans-serif" w:hAnsi="Tahoma;sans-serif"/>
          <w:b w:val="false"/>
          <w:color w:val="000000"/>
          <w:sz w:val="19"/>
        </w:rPr>
        <w:t>Srdjan Tanjga</w:t>
      </w:r>
      <w:r>
        <w:rPr>
          <w:rFonts w:ascii="Tahoma;sans-serif" w:hAnsi="Tahoma;sans-serif"/>
          <w:b w:val="false"/>
          <w:color w:val="000000"/>
          <w:sz w:val="20"/>
        </w:rPr>
        <w:t>,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1.</w:t>
      </w:r>
      <w:r>
        <w:rPr>
          <w:color w:val="000000"/>
        </w:rPr>
        <w:t xml:space="preserve">                       </w:t>
      </w:r>
      <w:r>
        <w:rPr>
          <w:rFonts w:ascii="Tahoma;sans-serif" w:hAnsi="Tahoma;sans-serif"/>
          <w:b w:val="false"/>
          <w:color w:val="000000"/>
          <w:sz w:val="20"/>
        </w:rPr>
        <w:t>I have reviewed this Annual Report on Form 10-K for the period ended December 31, 2025 of Appian Corporation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2.</w:t>
      </w:r>
      <w:r>
        <w:rPr>
          <w:color w:val="000000"/>
        </w:rPr>
        <w:t xml:space="preserve">                       </w:t>
      </w:r>
      <w:r>
        <w:rPr>
          <w:rFonts w:ascii="Tahoma;sans-serif" w:hAnsi="Tahoma;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3.</w:t>
      </w:r>
      <w:r>
        <w:rPr>
          <w:color w:val="000000"/>
        </w:rPr>
        <w:t xml:space="preserve">                       </w:t>
      </w:r>
      <w:r>
        <w:rPr>
          <w:rFonts w:ascii="Tahoma;sans-serif" w:hAnsi="Tahoma;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76" w:before="0" w:after="0"/>
        <w:ind w:left="0" w:right="0" w:hanging="720"/>
        <w:jc w:val="left"/>
        <w:rPr/>
      </w:pPr>
      <w:r>
        <w:rPr>
          <w:rFonts w:ascii="Tahoma;sans-serif" w:hAnsi="Tahoma;sans-serif"/>
          <w:b w:val="false"/>
          <w:color w:val="000000"/>
          <w:sz w:val="20"/>
        </w:rPr>
        <w:t>4.</w:t>
      </w:r>
      <w:r>
        <w:rPr>
          <w:color w:val="000000"/>
        </w:rPr>
        <w:t xml:space="preserve">                       </w:t>
      </w:r>
      <w:r>
        <w:rPr>
          <w:rFonts w:ascii="Tahoma;sans-serif" w:hAnsi="Tahoma;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ahoma;sans-serif" w:hAnsi="Tahoma;sans-serif"/>
          <w:b w:val="false"/>
          <w:color w:val="000000"/>
          <w:sz w:val="20"/>
        </w:rPr>
      </w:pPr>
      <w:r>
        <w:rPr>
          <w:rFonts w:ascii="Tahoma;sans-serif" w:hAnsi="Tahoma;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(c)</w:t>
      </w:r>
      <w:r>
        <w:rPr>
          <w:color w:val="000000"/>
        </w:rPr>
        <w:t xml:space="preserve">                  </w:t>
      </w:r>
      <w:r>
        <w:rPr>
          <w:rFonts w:ascii="Tahoma;sans-serif" w:hAnsi="Tahoma;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(d)</w:t>
      </w:r>
      <w:r>
        <w:rPr>
          <w:color w:val="000000"/>
        </w:rPr>
        <w:t xml:space="preserve">                   </w:t>
      </w:r>
      <w:r>
        <w:rPr>
          <w:rFonts w:ascii="Tahoma;sans-serif" w:hAnsi="Tahoma;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5.</w:t>
      </w:r>
      <w:r>
        <w:rPr>
          <w:color w:val="000000"/>
        </w:rPr>
        <w:t xml:space="preserve">                       </w:t>
      </w:r>
      <w:r>
        <w:rPr>
          <w:rFonts w:ascii="Tahoma;sans-serif" w:hAnsi="Tahoma;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(a)</w:t>
      </w:r>
      <w:r>
        <w:rPr>
          <w:color w:val="000000"/>
        </w:rPr>
        <w:t xml:space="preserve">                  </w:t>
      </w:r>
      <w:r>
        <w:rPr>
          <w:rFonts w:ascii="Tahoma;sans-serif" w:hAnsi="Tahoma;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val="false"/>
          <w:color w:val="000000"/>
          <w:sz w:val="20"/>
        </w:rPr>
        <w:t>(b)</w:t>
      </w:r>
      <w:r>
        <w:rPr>
          <w:color w:val="000000"/>
        </w:rPr>
        <w:t xml:space="preserve">                  </w:t>
      </w:r>
      <w:r>
        <w:rPr>
          <w:rFonts w:ascii="Tahoma;sans-serif" w:hAnsi="Tahoma;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7530" w:type="dxa"/>
        <w:jc w:val="left"/>
        <w:tblInd w:w="0" w:type="dxa"/>
        <w:tblLayout w:type="fixed"/>
        <w:tblCellMar>
          <w:top w:w="28" w:type="dxa"/>
          <w:left w:w="28" w:type="dxa"/>
          <w:bottom w:w="28" w:type="dxa"/>
          <w:right w:w="28" w:type="dxa"/>
        </w:tblCellMar>
      </w:tblPr>
      <w:tblGrid>
        <w:gridCol w:w="830"/>
        <w:gridCol w:w="729"/>
        <w:gridCol w:w="736"/>
        <w:gridCol w:w="1534"/>
        <w:gridCol w:w="1534"/>
        <w:gridCol w:w="2167"/>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ahoma;sans-serif" w:hAnsi="Tahoma;sans-serif"/>
                <w:b w:val="false"/>
                <w:color w:val="000000"/>
                <w:sz w:val="20"/>
              </w:rPr>
              <w:t>Date: February 19, 2026</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Srdjan Tanjga</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Srdjan Tanjga</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Chief Financial Officer</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ahoma;sans-serif" w:hAnsi="Tahoma;sans-serif"/>
          <w:b/>
          <w:color w:val="000000"/>
          <w:sz w:val="20"/>
        </w:rPr>
      </w:pPr>
      <w:r>
        <w:rPr>
          <w:rFonts w:ascii="Tahoma;sans-serif" w:hAnsi="Tahoma;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CERTIFICATIONS OF</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PRINCIPAL EXECUTIVE OFFICER AND PRINCIPAL FINANCIAL OFFICER</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PURSUANT TO 18 U.S.C. SECTION 1350,</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AS ADOPTED PURSUANT TO</w:t>
      </w:r>
    </w:p>
    <w:p>
      <w:pPr>
        <w:pStyle w:val="TextBody"/>
        <w:bidi w:val="0"/>
        <w:spacing w:lineRule="auto" w:line="288" w:before="0" w:after="0"/>
        <w:jc w:val="center"/>
        <w:rPr>
          <w:rFonts w:ascii="Tahoma;sans-serif" w:hAnsi="Tahoma;sans-serif"/>
          <w:b/>
          <w:color w:val="000000"/>
          <w:sz w:val="20"/>
        </w:rPr>
      </w:pPr>
      <w:r>
        <w:rPr>
          <w:rFonts w:ascii="Tahoma;sans-serif" w:hAnsi="Tahoma;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40"/>
        <w:jc w:val="left"/>
        <w:rPr>
          <w:rFonts w:ascii="Tahoma;sans-serif" w:hAnsi="Tahoma;sans-serif"/>
          <w:b w:val="false"/>
          <w:color w:val="000000"/>
          <w:sz w:val="20"/>
        </w:rPr>
      </w:pPr>
      <w:r>
        <w:rPr>
          <w:rFonts w:ascii="Tahoma;sans-serif" w:hAnsi="Tahoma;sans-serif"/>
          <w:b w:val="false"/>
          <w:color w:val="000000"/>
          <w:sz w:val="20"/>
        </w:rPr>
        <w:t>Pursuant to the requirement set forth in Rule 13a-14(b) of the Securities Exchange Act of 1934, as amended, (the “Exchange Act”) and Section 1350 of Chapter 63 of Title 18 of the United States Code (18 U.S.C. §1350), Matthew Calkins, Chief Executive Officer of Appian Corporation (the “Company”), and Srdjan Tanjga, Chief Financial Officer of the Company, each hereby certifies that, to the best of his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color w:val="000000"/>
          <w:sz w:val="20"/>
        </w:rPr>
        <w:t>1.</w:t>
      </w:r>
      <w:r>
        <w:rPr>
          <w:color w:val="000000"/>
        </w:rPr>
        <w:t xml:space="preserve">                       </w:t>
      </w:r>
      <w:r>
        <w:rPr>
          <w:rFonts w:ascii="Tahoma;sans-serif" w:hAnsi="Tahoma;sans-serif"/>
          <w:b w:val="false"/>
          <w:color w:val="000000"/>
          <w:sz w:val="20"/>
        </w:rPr>
        <w:t>The Company’s Annual Report on Form 10-K for the period ended December 31, 2025, to which this Certification is attached as Exhibit 32.1 (the “Periodic Report”), fully complies with the requirements of Section 13(a) or Section 15(d) of the Exchange Act;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ahoma;sans-serif" w:hAnsi="Tahoma;sans-serif"/>
          <w:b/>
          <w:color w:val="000000"/>
          <w:sz w:val="20"/>
        </w:rPr>
        <w:t>2.</w:t>
      </w:r>
      <w:r>
        <w:rPr>
          <w:color w:val="000000"/>
        </w:rPr>
        <w:t xml:space="preserve">                       </w:t>
      </w:r>
      <w:r>
        <w:rPr>
          <w:rFonts w:ascii="Tahoma;sans-serif" w:hAnsi="Tahoma;sans-serif"/>
          <w:b w:val="false"/>
          <w:color w:val="000000"/>
          <w:sz w:val="20"/>
        </w:rPr>
        <w:t>The information contained in the Periodic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640"/>
        <w:jc w:val="left"/>
        <w:rPr/>
      </w:pPr>
      <w:r>
        <w:rPr>
          <w:rFonts w:ascii="Tahoma;sans-serif" w:hAnsi="Tahoma;sans-serif"/>
          <w:b/>
          <w:color w:val="000000"/>
          <w:sz w:val="20"/>
        </w:rPr>
        <w:t>IN WITNESS WHEREOF</w:t>
      </w:r>
      <w:r>
        <w:rPr>
          <w:rFonts w:ascii="Tahoma;sans-serif" w:hAnsi="Tahoma;sans-serif"/>
          <w:b w:val="false"/>
          <w:color w:val="000000"/>
          <w:sz w:val="20"/>
        </w:rPr>
        <w:t>, the undersigned have set their hands hereto as of the 19th day of February, 2026.</w:t>
      </w:r>
    </w:p>
    <w:p>
      <w:pPr>
        <w:pStyle w:val="TextBody"/>
        <w:bidi w:val="0"/>
        <w:spacing w:lineRule="auto" w:line="288" w:before="0" w:after="0"/>
        <w:jc w:val="center"/>
        <w:rPr>
          <w:color w:val="000000"/>
        </w:rPr>
      </w:pPr>
      <w:r>
        <w:rPr>
          <w:color w:val="000000"/>
        </w:rPr>
        <w:t> </w:t>
      </w:r>
    </w:p>
    <w:tbl>
      <w:tblPr>
        <w:tblW w:w="8036" w:type="dxa"/>
        <w:jc w:val="center"/>
        <w:tblInd w:w="0" w:type="dxa"/>
        <w:tblLayout w:type="fixed"/>
        <w:tblCellMar>
          <w:top w:w="28" w:type="dxa"/>
          <w:left w:w="28" w:type="dxa"/>
          <w:bottom w:w="28" w:type="dxa"/>
          <w:right w:w="28" w:type="dxa"/>
        </w:tblCellMar>
      </w:tblPr>
      <w:tblGrid>
        <w:gridCol w:w="896"/>
        <w:gridCol w:w="786"/>
        <w:gridCol w:w="793"/>
        <w:gridCol w:w="109"/>
        <w:gridCol w:w="109"/>
        <w:gridCol w:w="109"/>
        <w:gridCol w:w="1534"/>
        <w:gridCol w:w="1534"/>
        <w:gridCol w:w="2166"/>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Matthew Calkins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 Srdjan Tanjga</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Matthew Calkins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ahoma;sans-serif" w:hAnsi="Tahoma;sans-serif"/>
                <w:b w:val="false"/>
                <w:color w:val="000000"/>
                <w:sz w:val="20"/>
              </w:rPr>
            </w:pPr>
            <w:r>
              <w:rPr>
                <w:rFonts w:ascii="Tahoma;sans-serif" w:hAnsi="Tahoma;sans-serif"/>
                <w:b w:val="false"/>
                <w:color w:val="000000"/>
                <w:sz w:val="20"/>
              </w:rPr>
              <w:t>Srdjan Tanjga</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Chief Executive Officer</w:t>
            </w:r>
          </w:p>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Chief Financial Officer</w:t>
            </w:r>
          </w:p>
          <w:p>
            <w:pPr>
              <w:pStyle w:val="TableContents"/>
              <w:bidi w:val="0"/>
              <w:spacing w:lineRule="auto" w:line="240" w:before="0" w:after="0"/>
              <w:jc w:val="left"/>
              <w:rPr>
                <w:rFonts w:ascii="Tahoma;sans-serif" w:hAnsi="Tahoma;sans-serif"/>
                <w:b w:val="false"/>
                <w:color w:val="000000"/>
                <w:sz w:val="20"/>
              </w:rPr>
            </w:pPr>
            <w:r>
              <w:rPr>
                <w:rFonts w:ascii="Tahoma;sans-serif" w:hAnsi="Tahoma;sans-serif"/>
                <w:b w:val="false"/>
                <w:color w:val="000000"/>
                <w:sz w:val="20"/>
              </w:rPr>
              <w:t>(Principal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ahoma;sans-serif" w:hAnsi="Tahoma;sans-serif"/>
          <w:b w:val="false"/>
          <w:color w:val="000000"/>
          <w:sz w:val="20"/>
        </w:rPr>
      </w:pPr>
      <w:r>
        <w:rPr>
          <w:rFonts w:ascii="Tahoma;sans-serif" w:hAnsi="Tahoma;sans-serif"/>
          <w:b w:val="false"/>
          <w:color w:val="000000"/>
          <w:sz w:val="20"/>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ahoma">
    <w:altName w:val="sans-serif"/>
    <w:charset w:val="01"/>
    <w:family w:val="auto"/>
    <w:pitch w:val="default"/>
  </w:font>
  <w:font w:name="Times New Roman">
    <w:altName w:val="serif"/>
    <w:charset w:val="01"/>
    <w:family w:val="auto"/>
    <w:pitch w:val="default"/>
  </w:font>
  <w:font w:name="Ubuntu">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41683/000119312517167863/d363139dex32.htm" TargetMode="External"/><Relationship Id="rId5" Type="http://schemas.openxmlformats.org/officeDocument/2006/relationships/hyperlink" Target="https://www.sec.gov/Archives/edgar/data/1441683/000119312517164651/d363139dex34.htm" TargetMode="External"/><Relationship Id="rId6" Type="http://schemas.openxmlformats.org/officeDocument/2006/relationships/hyperlink" Target="https://www.sec.gov/Archives/edgar/data/1441683/000119312517167863/d363139dex41.htm" TargetMode="External"/><Relationship Id="rId7" Type="http://schemas.openxmlformats.org/officeDocument/2006/relationships/hyperlink" Target="https://www.sec.gov/Archives/edgar/data/1441683/000144168322000023/appn12312021ex43.htm" TargetMode="External"/><Relationship Id="rId8" Type="http://schemas.openxmlformats.org/officeDocument/2006/relationships/hyperlink" Target="https://www.sec.gov/Archives/edgar/data/1441683/000119312517143330/d363139dex101.htm" TargetMode="External"/><Relationship Id="rId9" Type="http://schemas.openxmlformats.org/officeDocument/2006/relationships/hyperlink" Target="https://www.sec.gov/Archives/edgar/data/1441683/000119312517164651/d363139dex102.htm" TargetMode="External"/><Relationship Id="rId10" Type="http://schemas.openxmlformats.org/officeDocument/2006/relationships/hyperlink" Target="https://www.sec.gov/Archives/edgar/data/1441683/000144168318000023/appn12312017ex1014.htm" TargetMode="External"/><Relationship Id="rId11" Type="http://schemas.openxmlformats.org/officeDocument/2006/relationships/hyperlink" Target="https://www.sec.gov/Archives/edgar/data/1441683/000144168318000023/appn12312017ex1015.htm" TargetMode="External"/><Relationship Id="rId12" Type="http://schemas.openxmlformats.org/officeDocument/2006/relationships/hyperlink" Target="https://www.sec.gov/Archives/edgar/data/1441683/000144168318000023/appn12312017ex1012.htm" TargetMode="External"/><Relationship Id="rId13" Type="http://schemas.openxmlformats.org/officeDocument/2006/relationships/hyperlink" Target="https://www.sec.gov/Archives/edgar/data/1441683/000144168318000023/appn12312017ex1013.htm" TargetMode="External"/><Relationship Id="rId14" Type="http://schemas.openxmlformats.org/officeDocument/2006/relationships/hyperlink" Target="https://www.sec.gov/Archives/edgar/data/1441683/000144168321000063/appn06302021ex101.htm" TargetMode="External"/><Relationship Id="rId15" Type="http://schemas.openxmlformats.org/officeDocument/2006/relationships/hyperlink" Target="https://www.sec.gov/Archives/edgar/data/1441683/000144168321000085/appn09302021ex101.htm" TargetMode="External"/><Relationship Id="rId16" Type="http://schemas.openxmlformats.org/officeDocument/2006/relationships/hyperlink" Target="https://www.sec.gov/Archives/edgar/data/1441683/000144168321000018/appn12312020ex103.htm" TargetMode="External"/><Relationship Id="rId17" Type="http://schemas.openxmlformats.org/officeDocument/2006/relationships/hyperlink" Target="https://www.sec.gov/Archives/edgar/data/1441683/000119312517164651/d363139dex104.htm" TargetMode="External"/><Relationship Id="rId18" Type="http://schemas.openxmlformats.org/officeDocument/2006/relationships/hyperlink" Target="https://www.sec.gov/Archives/edgar/data/1441683/000144168318000023/appn12312017ex1011.htm" TargetMode="External"/><Relationship Id="rId19" Type="http://schemas.openxmlformats.org/officeDocument/2006/relationships/hyperlink" Target="https://www.sec.gov/Archives/edgar/data/1441683/000119312517143330/d363139dex105.htm" TargetMode="External"/><Relationship Id="rId20" Type="http://schemas.openxmlformats.org/officeDocument/2006/relationships/hyperlink" Target="https://www.sec.gov/Archives/edgar/data/1441683/000144168320000048/appn03312020ex102.htm" TargetMode="External"/><Relationship Id="rId21" Type="http://schemas.openxmlformats.org/officeDocument/2006/relationships/hyperlink" Target="https://www.sec.gov/Archives/edgar/data/1441683/000144168323000021/appn12312022ex1016.htm" TargetMode="External"/><Relationship Id="rId22" Type="http://schemas.openxmlformats.org/officeDocument/2006/relationships/hyperlink" Target="https://www.sec.gov/Archives/edgar/data/1441683/000144168325000017/appn123124ex1032.htm" TargetMode="External"/><Relationship Id="rId23" Type="http://schemas.openxmlformats.org/officeDocument/2006/relationships/hyperlink" Target="https://www.sec.gov/Archives/edgar/data/1441683/000144168325000053/appn06302025ex101.htm" TargetMode="External"/><Relationship Id="rId24" Type="http://schemas.openxmlformats.org/officeDocument/2006/relationships/hyperlink" Target="https://www.sec.gov/Archives/edgar/data/1441683/000144168325000053/appn06302025ex101.htm" TargetMode="External"/><Relationship Id="rId25" Type="http://schemas.openxmlformats.org/officeDocument/2006/relationships/hyperlink" Target="https://www.sec.gov/Archives/edgar/data/1441683/000144168325000053/appn06302025ex101.htm" TargetMode="External"/><Relationship Id="rId26" Type="http://schemas.openxmlformats.org/officeDocument/2006/relationships/hyperlink" Target="https://www.sec.gov/Archives/edgar/data/1441683/000144168325000053/appn06302025ex101.htm" TargetMode="External"/><Relationship Id="rId27" Type="http://schemas.openxmlformats.org/officeDocument/2006/relationships/hyperlink" Target="https://www.sec.gov/Archives/edgar/data/1441683/000144168325000053/appn06302025ex101.htm" TargetMode="External"/><Relationship Id="rId28" Type="http://schemas.openxmlformats.org/officeDocument/2006/relationships/hyperlink" Target="https://www.sec.gov/Archives/edgar/data/1441683/000144168325000053/appn06302025ex102.htm" TargetMode="External"/><Relationship Id="rId29" Type="http://schemas.openxmlformats.org/officeDocument/2006/relationships/hyperlink" Target="https://www.sec.gov/Archives/edgar/data/1441683/000144168325000053/appn06302025ex102.htm" TargetMode="External"/><Relationship Id="rId30" Type="http://schemas.openxmlformats.org/officeDocument/2006/relationships/hyperlink" Target="https://www.sec.gov/Archives/edgar/data/1441683/000144168325000053/appn06302025ex102.htm" TargetMode="External"/><Relationship Id="rId31" Type="http://schemas.openxmlformats.org/officeDocument/2006/relationships/hyperlink" Target="https://www.sec.gov/Archives/edgar/data/1441683/000119312517143330/d363139dex107.htm" TargetMode="External"/><Relationship Id="rId32" Type="http://schemas.openxmlformats.org/officeDocument/2006/relationships/hyperlink" Target="https://www.sec.gov/Archives/edgar/data/1441683/000119312517143330/d363139dex107.htm" TargetMode="External"/><Relationship Id="rId33" Type="http://schemas.openxmlformats.org/officeDocument/2006/relationships/hyperlink" Target="https://www.sec.gov/Archives/edgar/data/1441683/000119312517143330/d363139dex107.htm" TargetMode="External"/><Relationship Id="rId34" Type="http://schemas.openxmlformats.org/officeDocument/2006/relationships/hyperlink" Target="https://www.sec.gov/Archives/edgar/data/1441683/000119312517143330/d363139dex107.htm" TargetMode="External"/><Relationship Id="rId35" Type="http://schemas.openxmlformats.org/officeDocument/2006/relationships/hyperlink" Target="https://www.sec.gov/Archives/edgar/data/1441683/000119312517143330/d363139dex107.htm" TargetMode="External"/><Relationship Id="rId36" Type="http://schemas.openxmlformats.org/officeDocument/2006/relationships/hyperlink" Target="https://www.sec.gov/Archives/edgar/data/1441683/000119312517143330/d363139dex107.htm" TargetMode="External"/><Relationship Id="rId37" Type="http://schemas.openxmlformats.org/officeDocument/2006/relationships/hyperlink" Target="https://www.sec.gov/Archives/edgar/data/1441683/000119312517143330/d363139dex107.htm" TargetMode="External"/><Relationship Id="rId38" Type="http://schemas.openxmlformats.org/officeDocument/2006/relationships/hyperlink" Target="https://www.sec.gov/Archives/edgar/data/1441683/000119312517143330/d363139dex107.htm" TargetMode="External"/><Relationship Id="rId39" Type="http://schemas.openxmlformats.org/officeDocument/2006/relationships/hyperlink" Target="https://www.sec.gov/Archives/edgar/data/1441683/000119312517143330/d363139dex107.htm" TargetMode="External"/><Relationship Id="rId40" Type="http://schemas.openxmlformats.org/officeDocument/2006/relationships/hyperlink" Target="https://www.sec.gov/Archives/edgar/data/1441683/000119312517143330/d363139dex107.htm" TargetMode="External"/><Relationship Id="rId41" Type="http://schemas.openxmlformats.org/officeDocument/2006/relationships/hyperlink" Target="https://www.sec.gov/Archives/edgar/data/1441683/000119312517143330/d363139dex107.htm" TargetMode="External"/><Relationship Id="rId42" Type="http://schemas.openxmlformats.org/officeDocument/2006/relationships/hyperlink" Target="https://www.sec.gov/Archives/edgar/data/1441683/000119312517143330/d363139dex107.htm" TargetMode="External"/><Relationship Id="rId43" Type="http://schemas.openxmlformats.org/officeDocument/2006/relationships/hyperlink" Target="https://www.sec.gov/Archives/edgar/data/1441683/000119312517143330/d363139dex107.htm" TargetMode="External"/><Relationship Id="rId44" Type="http://schemas.openxmlformats.org/officeDocument/2006/relationships/hyperlink" Target="https://www.sec.gov/Archives/edgar/data/1441683/000119312517143330/d363139dex107.htm" TargetMode="External"/><Relationship Id="rId45" Type="http://schemas.openxmlformats.org/officeDocument/2006/relationships/hyperlink" Target="https://www.sec.gov/Archives/edgar/data/1441683/000119312518126175/d543892dex101.htm" TargetMode="External"/><Relationship Id="rId46" Type="http://schemas.openxmlformats.org/officeDocument/2006/relationships/hyperlink" Target="https://www.sec.gov/Archives/edgar/data/1441683/000144168320000020/exhibit1015firstamendm.htm" TargetMode="External"/><Relationship Id="rId47" Type="http://schemas.openxmlformats.org/officeDocument/2006/relationships/hyperlink" Target="https://www.sec.gov/Archives/edgar/data/1441683/000144168320000020/exhibit1016secondamend.htm" TargetMode="External"/><Relationship Id="rId48" Type="http://schemas.openxmlformats.org/officeDocument/2006/relationships/hyperlink" Target="https://www.sec.gov/Archives/edgar/data/1441683/000144168322000023/appn12312021ex1021.htm" TargetMode="External"/><Relationship Id="rId49" Type="http://schemas.openxmlformats.org/officeDocument/2006/relationships/hyperlink" Target="https://www.sec.gov/Archives/edgar/data/1441683/000144168322000023/appn12312021ex1022.htm" TargetMode="External"/><Relationship Id="rId50" Type="http://schemas.openxmlformats.org/officeDocument/2006/relationships/hyperlink" Target="https://www.sec.gov/Archives/edgar/data/1441683/000119312517143330/d363139dex1011.htm" TargetMode="External"/><Relationship Id="rId51" Type="http://schemas.openxmlformats.org/officeDocument/2006/relationships/hyperlink" Target="https://www.sec.gov/Archives/edgar/data/1441683/000144168319000179/ex101-enterprisekdbsof.htm" TargetMode="External"/><Relationship Id="rId52" Type="http://schemas.openxmlformats.org/officeDocument/2006/relationships/hyperlink" Target="https://www.sec.gov/Archives/edgar/data/1441683/000144168323000093/appn09302023ex102.htm" TargetMode="External"/><Relationship Id="rId53" Type="http://schemas.openxmlformats.org/officeDocument/2006/relationships/hyperlink" Target="https://www.sec.gov/Archives/edgar/data/1441683/000144168323000021/appn12312022ex1027.htm" TargetMode="External"/><Relationship Id="rId54" Type="http://schemas.openxmlformats.org/officeDocument/2006/relationships/hyperlink" Target="https://www.sec.gov/Archives/edgar/data/1441683/000144168323000021/appn12312022ex1028.htm" TargetMode="External"/><Relationship Id="rId55" Type="http://schemas.openxmlformats.org/officeDocument/2006/relationships/hyperlink" Target="https://www.sec.gov/Archives/edgar/data/1441683/000144168323000056/appn3312023ex101.htm" TargetMode="External"/><Relationship Id="rId56" Type="http://schemas.openxmlformats.org/officeDocument/2006/relationships/hyperlink" Target="https://www.sec.gov/Archives/edgar/data/1441683/000144168323000073/appn06302023ex101.htm" TargetMode="External"/><Relationship Id="rId57" Type="http://schemas.openxmlformats.org/officeDocument/2006/relationships/hyperlink" Target="https://www.sec.gov/Archives/edgar/data/1441683/000144168324000042/appn03312024ex101.htm" TargetMode="External"/><Relationship Id="rId58" Type="http://schemas.openxmlformats.org/officeDocument/2006/relationships/hyperlink" Target="https://www.sec.gov/Archives/edgar/data/1441683/000144168324000042/appn03312024ex102.htm" TargetMode="External"/><Relationship Id="rId59" Type="http://schemas.openxmlformats.org/officeDocument/2006/relationships/hyperlink" Target="https://www.sec.gov/Archives/edgar/data/1441683/000144168325000053/appn06302025ex103.htm" TargetMode="External"/><Relationship Id="rId60" Type="http://schemas.openxmlformats.org/officeDocument/2006/relationships/hyperlink" Target="https://www.sec.gov/Archives/edgar/data/1441683/000144168325000053/appn06302025ex103.htm" TargetMode="External"/><Relationship Id="rId61" Type="http://schemas.openxmlformats.org/officeDocument/2006/relationships/hyperlink" Target="https://www.sec.gov/Archives/edgar/data/1441683/000144168325000053/appn06302025ex103.htm" TargetMode="External"/><Relationship Id="rId62" Type="http://schemas.openxmlformats.org/officeDocument/2006/relationships/hyperlink" Target="https://www.sec.gov/Archives/edgar/data/1441683/000144168325000053/appn06302025ex103.htm" TargetMode="External"/><Relationship Id="rId63" Type="http://schemas.openxmlformats.org/officeDocument/2006/relationships/hyperlink" Target="https://www.sec.gov/Archives/edgar/data/1441683/000144168325000053/appn06302025ex103.htm" TargetMode="External"/><Relationship Id="rId64" Type="http://schemas.openxmlformats.org/officeDocument/2006/relationships/hyperlink" Target="https://www.sec.gov/Archives/edgar/data/1441683/000144168325000053/appn06302025ex103.htm" TargetMode="External"/><Relationship Id="rId65" Type="http://schemas.openxmlformats.org/officeDocument/2006/relationships/hyperlink" Target="https://www.sec.gov/Archives/edgar/data/1441683/000144168325000053/appn06302025ex103.htm" TargetMode="External"/><Relationship Id="rId66" Type="http://schemas.openxmlformats.org/officeDocument/2006/relationships/hyperlink" Target="https://www.sec.gov/Archives/edgar/data/1441683/000144168325000053/appn06302025ex103.htm" TargetMode="External"/><Relationship Id="rId67" Type="http://schemas.openxmlformats.org/officeDocument/2006/relationships/hyperlink" Target="https://www.sec.gov/Archives/edgar/data/1441683/000144168325000068/appn09302025ex101.htm" TargetMode="External"/><Relationship Id="rId68" Type="http://schemas.openxmlformats.org/officeDocument/2006/relationships/hyperlink" Target="https://www.sec.gov/Archives/edgar/data/1441683/000144168325000068/appn09302025ex101.htm" TargetMode="External"/><Relationship Id="rId69" Type="http://schemas.openxmlformats.org/officeDocument/2006/relationships/hyperlink" Target="https://www.sec.gov/Archives/edgar/data/1441683/000144168325000068/appn09302025ex101.htm" TargetMode="External"/><Relationship Id="rId70" Type="http://schemas.openxmlformats.org/officeDocument/2006/relationships/hyperlink" Target="https://www.sec.gov/Archives/edgar/data/1441683/000144168325000068/appn09302025ex101.htm" TargetMode="External"/><Relationship Id="rId71" Type="http://schemas.openxmlformats.org/officeDocument/2006/relationships/hyperlink" Target="https://www.sec.gov/Archives/edgar/data/1441683/000144168325000068/appn09302025ex101.htm" TargetMode="External"/><Relationship Id="rId72" Type="http://schemas.openxmlformats.org/officeDocument/2006/relationships/hyperlink" Target="https://www.sec.gov/Archives/edgar/data/1441683/000144168325000068/appn09302025ex101.htm" TargetMode="External"/><Relationship Id="rId73" Type="http://schemas.openxmlformats.org/officeDocument/2006/relationships/hyperlink" Target="https://www.sec.gov/Archives/edgar/data/1441683/000144168325000068/appn09302025ex101.htm" TargetMode="External"/><Relationship Id="rId74" Type="http://schemas.openxmlformats.org/officeDocument/2006/relationships/hyperlink" Target="https://www.sec.gov/Archives/edgar/data/1441683/000144168325000017/appn12312024ex19.htm" TargetMode="External"/><Relationship Id="rId75" Type="http://schemas.openxmlformats.org/officeDocument/2006/relationships/hyperlink" Target="https://www.sec.gov/Archives/edgar/data/1441683/000144168325000017/appn12312024ex19.htm" TargetMode="External"/><Relationship Id="rId76" Type="http://schemas.openxmlformats.org/officeDocument/2006/relationships/hyperlink" Target="https://www.sec.gov/Archives/edgar/data/1441683/000144168325000017/appn12312024ex19.htm" TargetMode="External"/><Relationship Id="rId77" Type="http://schemas.openxmlformats.org/officeDocument/2006/relationships/hyperlink" Target="https://www.sec.gov/Archives/edgar/data/1441683/000144168325000017/appn12312024ex19.htm" TargetMode="External"/><Relationship Id="rId78" Type="http://schemas.openxmlformats.org/officeDocument/2006/relationships/hyperlink" Target="https://www.sec.gov/Archives/edgar/data/1441683/000144168325000017/appn12312024ex19.htm" TargetMode="External"/><Relationship Id="rId79" Type="http://schemas.openxmlformats.org/officeDocument/2006/relationships/hyperlink" Target="https://www.sec.gov/Archives/edgar/data/1441683/000144168325000017/appn12312024ex19.htm" TargetMode="External"/><Relationship Id="rId80" Type="http://schemas.openxmlformats.org/officeDocument/2006/relationships/hyperlink" Target="https://www.sec.gov/Archives/edgar/data/1441683/000144168325000017/appn12312024ex19.htm" TargetMode="External"/><Relationship Id="rId81" Type="http://schemas.openxmlformats.org/officeDocument/2006/relationships/hyperlink" Target="https://www.sec.gov/Archives/edgar/data/1441683/000144168325000017/appn12312024ex19.htm" TargetMode="External"/><Relationship Id="rId82" Type="http://schemas.openxmlformats.org/officeDocument/2006/relationships/hyperlink" Target="https://www.sec.gov/Archives/edgar/data/1441683/000144168324000016/appn12312023ex97.htm" TargetMode="External"/><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55901</Words>
  <Characters>312828</Characters>
  <CharactersWithSpaces>366648</CharactersWithSpaces>
  <Paragraphs>4383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