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54311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3115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Zamudio-Ramirez Pavel</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7950 JONES BRANCH DRIVE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APPIAN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APPN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05/05/2026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804"/>
        <w:spacing w:after="0"/>
        <w:rPr>
          <w:sz w:val="20"/>
          <w:szCs w:val="20"/>
          <w:color w:val="auto"/>
        </w:rPr>
      </w:pPr>
      <w:r>
        <w:rPr>
          <w:rFonts w:ascii="Times New Roman" w:cs="Times New Roman" w:eastAsia="Times New Roman" w:hAnsi="Times New Roman"/>
          <w:sz w:val="17"/>
          <w:szCs w:val="17"/>
          <w:color w:val="0000FF"/>
        </w:rPr>
        <w:t>Chief Customer Officer</w:t>
      </w:r>
    </w:p>
    <w:p>
      <w:pPr>
        <w:spacing w:after="0" w:line="305"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3720" w:type="dxa"/>
            <w:vAlign w:val="bottom"/>
            <w:gridSpan w:val="7"/>
            <w:vMerge w:val="restart"/>
          </w:tcPr>
          <w:p>
            <w:pPr>
              <w:jc w:val="center"/>
              <w:ind w:right="137"/>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vMerge w:val="restart"/>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MCLEAN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VA</w:t>
            </w:r>
          </w:p>
        </w:tc>
        <w:tc>
          <w:tcPr>
            <w:tcW w:w="11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22102</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6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05/06/2026</w:t>
            </w:r>
          </w:p>
        </w:tc>
        <w:tc>
          <w:tcPr>
            <w:tcW w:w="5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10,272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ind w:right="281"/>
              <w:spacing w:after="0"/>
              <w:rPr>
                <w:sz w:val="20"/>
                <w:szCs w:val="20"/>
                <w:color w:val="auto"/>
              </w:rPr>
            </w:pPr>
            <w:r>
              <w:rPr>
                <w:rFonts w:ascii="Times New Roman" w:cs="Times New Roman" w:eastAsia="Times New Roman" w:hAnsi="Times New Roman"/>
                <w:sz w:val="17"/>
                <w:szCs w:val="17"/>
                <w:color w:val="0000FF"/>
              </w:rPr>
              <w:t>36,376</w:t>
            </w:r>
            <w:r>
              <w:rPr>
                <w:rFonts w:ascii="Times New Roman" w:cs="Times New Roman" w:eastAsia="Times New Roman" w:hAnsi="Times New Roman"/>
                <w:sz w:val="21"/>
                <w:szCs w:val="21"/>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05/06/2026</w:t>
            </w: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3,314</w:t>
            </w:r>
          </w:p>
        </w:tc>
        <w:tc>
          <w:tcPr>
            <w:tcW w:w="6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22.72</w:t>
            </w:r>
          </w:p>
        </w:tc>
        <w:tc>
          <w:tcPr>
            <w:tcW w:w="1280" w:type="dxa"/>
            <w:vAlign w:val="bottom"/>
            <w:gridSpan w:val="3"/>
          </w:tcPr>
          <w:p>
            <w:pPr>
              <w:jc w:val="right"/>
              <w:ind w:right="361"/>
              <w:spacing w:after="0"/>
              <w:rPr>
                <w:sz w:val="20"/>
                <w:szCs w:val="20"/>
                <w:color w:val="auto"/>
              </w:rPr>
            </w:pPr>
            <w:r>
              <w:rPr>
                <w:rFonts w:ascii="Times New Roman" w:cs="Times New Roman" w:eastAsia="Times New Roman" w:hAnsi="Times New Roman"/>
                <w:sz w:val="17"/>
                <w:szCs w:val="17"/>
                <w:color w:val="0000FF"/>
              </w:rPr>
              <w:t>33,062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2,935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05/05/2026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2,935</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rPr>
              <w:t>8,805</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7,337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05/05/2026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580" w:type="dxa"/>
            <w:vAlign w:val="bottom"/>
          </w:tcPr>
          <w:p>
            <w:pPr>
              <w:spacing w:after="0"/>
              <w:rPr>
                <w:sz w:val="5"/>
                <w:szCs w:val="5"/>
                <w:color w:val="auto"/>
              </w:rPr>
            </w:pPr>
          </w:p>
        </w:tc>
        <w:tc>
          <w:tcPr>
            <w:tcW w:w="420" w:type="dxa"/>
            <w:vAlign w:val="bottom"/>
            <w:vMerge w:val="restart"/>
          </w:tcPr>
          <w:p>
            <w:pPr>
              <w:ind w:left="40"/>
              <w:spacing w:after="0" w:line="141" w:lineRule="exact"/>
              <w:rPr>
                <w:sz w:val="20"/>
                <w:szCs w:val="20"/>
                <w:color w:val="auto"/>
              </w:rPr>
            </w:pPr>
            <w:r>
              <w:rPr>
                <w:rFonts w:ascii="Times New Roman" w:cs="Times New Roman" w:eastAsia="Times New Roman" w:hAnsi="Times New Roman"/>
                <w:sz w:val="13"/>
                <w:szCs w:val="13"/>
                <w:color w:val="0000FF"/>
              </w:rPr>
              <w:t>7,337</w:t>
            </w: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15,848</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05/05/2026</w:t>
            </w: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20"/>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20"/>
              <w:spacing w:after="0" w:line="141" w:lineRule="exact"/>
              <w:rPr>
                <w:sz w:val="20"/>
                <w:szCs w:val="20"/>
                <w:color w:val="auto"/>
              </w:rPr>
            </w:pPr>
            <w:r>
              <w:rPr>
                <w:rFonts w:ascii="Times New Roman" w:cs="Times New Roman" w:eastAsia="Times New Roman" w:hAnsi="Times New Roman"/>
                <w:sz w:val="13"/>
                <w:szCs w:val="13"/>
                <w:color w:val="0000FF"/>
              </w:rPr>
              <w:t>15,848</w:t>
            </w:r>
          </w:p>
        </w:tc>
        <w:tc>
          <w:tcPr>
            <w:tcW w:w="42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jc w:val="center"/>
              <w:ind w:right="37"/>
              <w:spacing w:after="0" w:line="141" w:lineRule="exact"/>
              <w:rPr>
                <w:sz w:val="20"/>
                <w:szCs w:val="20"/>
                <w:color w:val="auto"/>
              </w:rPr>
            </w:pPr>
            <w:r>
              <w:rPr>
                <w:rFonts w:ascii="Times New Roman" w:cs="Times New Roman" w:eastAsia="Times New Roman" w:hAnsi="Times New Roman"/>
                <w:sz w:val="13"/>
                <w:szCs w:val="13"/>
                <w:color w:val="0000FF"/>
                <w:w w:val="94"/>
              </w:rPr>
              <w:t>Common</w:t>
            </w: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center"/>
              <w:ind w:left="161"/>
              <w:spacing w:after="0" w:line="141" w:lineRule="exact"/>
              <w:rPr>
                <w:sz w:val="20"/>
                <w:szCs w:val="20"/>
                <w:color w:val="auto"/>
              </w:rPr>
            </w:pPr>
            <w:r>
              <w:rPr>
                <w:rFonts w:ascii="Times New Roman" w:cs="Times New Roman" w:eastAsia="Times New Roman" w:hAnsi="Times New Roman"/>
                <w:sz w:val="13"/>
                <w:szCs w:val="13"/>
                <w:color w:val="0000FF"/>
                <w:w w:val="94"/>
              </w:rPr>
              <w:t>15,848</w:t>
            </w:r>
          </w:p>
        </w:tc>
        <w:tc>
          <w:tcPr>
            <w:tcW w:w="26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-2524125</wp:posOffset>
            </wp:positionV>
            <wp:extent cx="29210" cy="2529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52984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converts into Class A Common Stock on a one-for-one basis.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221 and 218 shares acquired on 3/4/2026 and 4/2/2026, respectively, under the Appian Corporation Employee Stock Purchase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Issuer's Class A Common Stock (or its cash equivalent, at the discretion of the Issuer).</w:t>
      </w:r>
    </w:p>
    <w:p>
      <w:pPr>
        <w:spacing w:after="0" w:line="41" w:lineRule="exact"/>
        <w:rPr>
          <w:rFonts w:ascii="Times New Roman" w:cs="Times New Roman" w:eastAsia="Times New Roman" w:hAnsi="Times New Roman"/>
          <w:sz w:val="13"/>
          <w:szCs w:val="13"/>
          <w:color w:val="008000"/>
        </w:rPr>
      </w:pPr>
    </w:p>
    <w:p>
      <w:pPr>
        <w:ind w:left="40" w:right="3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May 6, 2025, and vest in four equal annual installments commencing on May 5, 2025, provided that the Reporting Person has provided continuous service to the Issuer through the vesting date.</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May 6, 2025, and vested on May 5, 2026.</w:t>
      </w:r>
    </w:p>
    <w:p>
      <w:pPr>
        <w:spacing w:after="0" w:line="41" w:lineRule="exact"/>
        <w:rPr>
          <w:rFonts w:ascii="Times New Roman" w:cs="Times New Roman" w:eastAsia="Times New Roman" w:hAnsi="Times New Roman"/>
          <w:sz w:val="13"/>
          <w:szCs w:val="13"/>
          <w:color w:val="008000"/>
        </w:rPr>
      </w:pPr>
    </w:p>
    <w:p>
      <w:pPr>
        <w:ind w:left="40" w:right="34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granted on May 5, 2026, and vest in four equal annual installments commencing on May 5, 2026, provided that the Reporting Person has provided continuous service to the Issuer through the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87"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Angela Patterson, Attorney-</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05/07/2026</w:t>
            </w:r>
          </w:p>
        </w:tc>
        <w:tc>
          <w:tcPr>
            <w:tcW w:w="0" w:type="dxa"/>
            <w:vAlign w:val="bottom"/>
          </w:tcPr>
          <w:p>
            <w:pPr>
              <w:spacing w:after="0"/>
              <w:rPr>
                <w:sz w:val="1"/>
                <w:szCs w:val="1"/>
                <w:color w:val="auto"/>
              </w:rPr>
            </w:pPr>
          </w:p>
        </w:tc>
      </w:tr>
      <w:tr>
        <w:trPr>
          <w:trHeight w:val="87"/>
        </w:trPr>
        <w:tc>
          <w:tcPr>
            <w:tcW w:w="48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5"/>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13014" TargetMode="External"/><Relationship Id="rId14" Type="http://schemas.openxmlformats.org/officeDocument/2006/relationships/hyperlink" Target="http://www.sec.gov/cgi-bin/browse-edgar?action=getcompany&amp;CIK=0001441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2026-05-07T15:19:14Z</dcterms:created>
  <dcterms:modified xsi:type="dcterms:W3CDTF">2026-05-07T15:19:14Z</dcterms:modified>
</cp:coreProperties>
</file>