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UNITED STATES</w:t>
      </w:r>
    </w:p>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SECURITIES AND EXCHANGE COMMISSION</w:t>
      </w:r>
    </w:p>
    <w:p>
      <w:pPr>
        <w:pStyle w:val="TextBody"/>
        <w:bidi w:val="0"/>
        <w:spacing w:lineRule="auto" w:line="288" w:before="0" w:after="0"/>
        <w:jc w:val="center"/>
        <w:rPr>
          <w:rFonts w:ascii="Tahoma;sans-serif" w:hAnsi="Tahoma;sans-serif"/>
          <w:b/>
          <w:color w:val="000000"/>
          <w:sz w:val="24"/>
        </w:rPr>
      </w:pPr>
      <w:r>
        <w:rPr>
          <w:rFonts w:ascii="Tahoma;sans-serif" w:hAnsi="Tahoma;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8"/>
        <w:gridCol w:w="2648"/>
        <w:gridCol w:w="3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ANNUAL REPORT PURSUANT TO SECTION 13 OR 15(d) OF THE SECURITIES EXCHANGE ACT OF 1934</w:t>
            </w:r>
          </w:p>
        </w:tc>
      </w:tr>
    </w:tbl>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For the fiscal year ended December 31, 2023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OR</w:t>
      </w:r>
    </w:p>
    <w:tbl>
      <w:tblPr>
        <w:tblW w:w="9792" w:type="dxa"/>
        <w:jc w:val="center"/>
        <w:tblInd w:w="0" w:type="dxa"/>
        <w:tblLayout w:type="fixed"/>
        <w:tblCellMar>
          <w:top w:w="28" w:type="dxa"/>
          <w:left w:w="28" w:type="dxa"/>
          <w:bottom w:w="28" w:type="dxa"/>
          <w:right w:w="28" w:type="dxa"/>
        </w:tblCellMar>
      </w:tblPr>
      <w:tblGrid>
        <w:gridCol w:w="124"/>
        <w:gridCol w:w="109"/>
        <w:gridCol w:w="109"/>
        <w:gridCol w:w="2767"/>
        <w:gridCol w:w="2767"/>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ahoma;sans-serif" w:hAnsi="Tahoma;sans-serif"/>
          <w:b/>
          <w:color w:val="000000"/>
          <w:sz w:val="20"/>
        </w:rPr>
        <w:t xml:space="preserve">For the transition period from </w:t>
      </w:r>
      <w:r>
        <w:rPr>
          <w:color w:val="000000"/>
          <w:u w:val="single"/>
        </w:rPr>
        <w:t>        </w:t>
      </w:r>
      <w:r>
        <w:rPr>
          <w:color w:val="000000"/>
        </w:rPr>
        <w:t xml:space="preserve"> </w:t>
      </w:r>
      <w:r>
        <w:rPr>
          <w:rFonts w:ascii="Tahoma;sans-serif" w:hAnsi="Tahoma;sans-serif"/>
          <w:b/>
          <w:color w:val="000000"/>
          <w:sz w:val="20"/>
        </w:rPr>
        <w:t xml:space="preserve">to </w:t>
      </w:r>
      <w:r>
        <w:rPr>
          <w:color w:val="000000"/>
          <w:u w:val="single"/>
        </w:rPr>
        <w:t>        </w:t>
      </w:r>
    </w:p>
    <w:p>
      <w:pPr>
        <w:pStyle w:val="TextBody"/>
        <w:bidi w:val="0"/>
        <w:spacing w:lineRule="auto" w:line="288" w:before="0" w:after="0"/>
        <w:jc w:val="center"/>
        <w:rPr/>
      </w:pPr>
      <w:r>
        <w:rPr>
          <w:rFonts w:ascii="Tahoma;sans-serif" w:hAnsi="Tahoma;sans-serif"/>
          <w:b/>
          <w:color w:val="000000"/>
          <w:sz w:val="20"/>
        </w:rPr>
        <w:t>Commission File Number: 001-38098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905000"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990600"/>
                    </a:xfrm>
                    <a:prstGeom prst="rect">
                      <a:avLst/>
                    </a:prstGeom>
                  </pic:spPr>
                </pic:pic>
              </a:graphicData>
            </a:graphic>
          </wp:inline>
        </w:drawing>
      </w:r>
    </w:p>
    <w:p>
      <w:pPr>
        <w:pStyle w:val="TextBody"/>
        <w:bidi w:val="0"/>
        <w:spacing w:lineRule="auto" w:line="288" w:before="0" w:after="0"/>
        <w:jc w:val="center"/>
        <w:rPr>
          <w:rFonts w:ascii="Tahoma;sans-serif" w:hAnsi="Tahoma;sans-serif"/>
          <w:b/>
          <w:color w:val="000000"/>
          <w:sz w:val="44"/>
        </w:rPr>
      </w:pPr>
      <w:r>
        <w:rPr>
          <w:rFonts w:ascii="Tahoma;sans-serif" w:hAnsi="Tahoma;sans-serif"/>
          <w:b/>
          <w:color w:val="000000"/>
          <w:sz w:val="44"/>
        </w:rPr>
        <w:t>APPIAN CORPORATION</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11" w:type="dxa"/>
        <w:jc w:val="left"/>
        <w:tblInd w:w="0" w:type="dxa"/>
        <w:tblLayout w:type="fixed"/>
        <w:tblCellMar>
          <w:top w:w="28" w:type="dxa"/>
          <w:left w:w="28" w:type="dxa"/>
          <w:bottom w:w="28" w:type="dxa"/>
          <w:right w:w="28" w:type="dxa"/>
        </w:tblCellMar>
      </w:tblPr>
      <w:tblGrid>
        <w:gridCol w:w="1624"/>
        <w:gridCol w:w="1424"/>
        <w:gridCol w:w="1436"/>
        <w:gridCol w:w="109"/>
        <w:gridCol w:w="109"/>
        <w:gridCol w:w="109"/>
        <w:gridCol w:w="788"/>
        <w:gridCol w:w="788"/>
        <w:gridCol w:w="1124"/>
      </w:tblGrid>
      <w:tr>
        <w:trPr/>
        <w:tc>
          <w:tcPr>
            <w:tcW w:w="16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54-1956084</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(I.R.S. Employer Identification No.)</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7950 Jones Branch Drive</w:t>
            </w:r>
          </w:p>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McLean, 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22102</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(Zip Code)</w:t>
            </w:r>
          </w:p>
        </w:tc>
      </w:tr>
    </w:tbl>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Registrant’s telephone number, including area code: (703) 442-8844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Securities registered pursuant to Section 12(b) of the Act:</w:t>
      </w:r>
    </w:p>
    <w:tbl>
      <w:tblPr>
        <w:tblW w:w="7542" w:type="dxa"/>
        <w:jc w:val="center"/>
        <w:tblInd w:w="0" w:type="dxa"/>
        <w:tblLayout w:type="fixed"/>
        <w:tblCellMar>
          <w:top w:w="28" w:type="dxa"/>
          <w:left w:w="28" w:type="dxa"/>
          <w:bottom w:w="28" w:type="dxa"/>
          <w:right w:w="28" w:type="dxa"/>
        </w:tblCellMar>
      </w:tblPr>
      <w:tblGrid>
        <w:gridCol w:w="755"/>
        <w:gridCol w:w="663"/>
        <w:gridCol w:w="666"/>
        <w:gridCol w:w="474"/>
        <w:gridCol w:w="474"/>
        <w:gridCol w:w="476"/>
        <w:gridCol w:w="1181"/>
        <w:gridCol w:w="1181"/>
        <w:gridCol w:w="167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Trading symbol</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 xml:space="preserve">Name of each exchange on which registered </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Class A Common Stock</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APPN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The Nasdaq Global Market</w:t>
            </w:r>
          </w:p>
        </w:tc>
      </w:tr>
    </w:tbl>
    <w:p>
      <w:pPr>
        <w:pStyle w:val="TextBody"/>
        <w:bidi w:val="0"/>
        <w:spacing w:lineRule="auto" w:line="288" w:before="0" w:after="0"/>
        <w:ind w:left="0" w:right="0" w:firstLine="360"/>
        <w:jc w:val="center"/>
        <w:rPr>
          <w:rFonts w:ascii="Tahoma;sans-serif" w:hAnsi="Tahoma;sans-serif"/>
          <w:b w:val="false"/>
          <w:color w:val="000000"/>
          <w:sz w:val="20"/>
        </w:rPr>
      </w:pPr>
      <w:r>
        <w:rPr>
          <w:rFonts w:ascii="Tahoma;sans-serif" w:hAnsi="Tahoma;sans-serif"/>
          <w:b w:val="false"/>
          <w:color w:val="000000"/>
          <w:sz w:val="20"/>
        </w:rPr>
        <w:t>Securities registered pursuant to Section 12(g) of the Act: None</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if the registrant is a well-known seasoned issuer, as defined in Rule 405 of the Securities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6135"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109"/>
        <w:gridCol w:w="109"/>
        <w:gridCol w:w="109"/>
        <w:gridCol w:w="109"/>
        <w:gridCol w:w="109"/>
        <w:gridCol w:w="109"/>
        <w:gridCol w:w="804"/>
        <w:gridCol w:w="804"/>
        <w:gridCol w:w="807"/>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is a shell company (as defined in Rule 12b-2 of the Exchange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June 30, 2023, the aggregate market value of the registrant’s voting Class A common stock and Class B common stock held by non-affiliates of the registrant was $1,250.7 million and $96.8 million, respectively, based on a closing price of $47.60 per share of the registrant’s Class A common stock as reported on the Nasdaq Global Market on June 30, 2023.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February 12, 2024, there were 42,204,284 shares of our Class A common stock and 31,196,796 shares of our Class B common stock, each with a par value of $0.0001 per share, outstanding.</w:t>
      </w:r>
    </w:p>
    <w:p>
      <w:pPr>
        <w:pStyle w:val="TextBody"/>
        <w:bidi w:val="0"/>
        <w:spacing w:before="0" w:after="0"/>
        <w:ind w:left="0" w:right="0" w:firstLine="600"/>
        <w:jc w:val="center"/>
        <w:rPr/>
      </w:pPr>
      <w:r>
        <w:rPr/>
      </w:r>
    </w:p>
    <w:p>
      <w:pPr>
        <w:pStyle w:val="TextBody"/>
        <w:bidi w:val="0"/>
        <w:spacing w:lineRule="auto" w:line="288" w:before="0" w:after="0"/>
        <w:ind w:left="0" w:right="0" w:firstLine="600"/>
        <w:jc w:val="center"/>
        <w:rPr>
          <w:rFonts w:ascii="Tahoma;sans-serif" w:hAnsi="Tahoma;sans-serif"/>
          <w:b/>
          <w:color w:val="000000"/>
          <w:sz w:val="20"/>
          <w:u w:val="single"/>
        </w:rPr>
      </w:pPr>
      <w:r>
        <w:rPr>
          <w:rFonts w:ascii="Tahoma;sans-serif" w:hAnsi="Tahoma;sans-serif"/>
          <w:b/>
          <w:color w:val="000000"/>
          <w:sz w:val="20"/>
          <w:u w:val="single"/>
        </w:rPr>
        <w:t>DOCUMENTS INCORPORATED BY REFERENCE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Portions of the registrant's definitive Proxy Statement for its 2024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3"/>
        <w:gridCol w:w="283"/>
        <w:gridCol w:w="286"/>
        <w:gridCol w:w="2933"/>
        <w:gridCol w:w="2898"/>
        <w:gridCol w:w="2908"/>
        <w:gridCol w:w="167"/>
        <w:gridCol w:w="167"/>
        <w:gridCol w:w="240"/>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20"/>
              </w:rPr>
            </w:pPr>
            <w:r>
              <w:rPr>
                <w:rFonts w:ascii="Tahoma;sans-serif" w:hAnsi="Tahoma;sans-serif"/>
                <w:b/>
                <w:color w:val="000000"/>
                <w:sz w:val="20"/>
              </w:rPr>
              <w:t>Page</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3">
              <w:r>
                <w:rPr>
                  <w:rStyle w:val="InternetLink"/>
                  <w:rFonts w:ascii="Tahoma;sans-serif" w:hAnsi="Tahoma;sans-serif"/>
                  <w:b w:val="false"/>
                  <w:color w:val="0000FF"/>
                  <w:sz w:val="20"/>
                  <w:u w:val="single"/>
                </w:rPr>
                <w:t>Business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3">
              <w:r>
                <w:rPr>
                  <w:rStyle w:val="InternetLink"/>
                  <w:rFonts w:ascii="Tahoma;sans-serif" w:hAnsi="Tahoma;sans-serif"/>
                  <w:b w:val="false"/>
                  <w:color w:val="0000FF"/>
                  <w:sz w:val="20"/>
                  <w:u w:val="single"/>
                </w:rPr>
                <w:t>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9">
              <w:r>
                <w:rPr>
                  <w:rStyle w:val="InternetLink"/>
                  <w:rFonts w:ascii="Tahoma;sans-serif" w:hAnsi="Tahoma;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9">
              <w:r>
                <w:rPr>
                  <w:rStyle w:val="InternetLink"/>
                  <w:rFonts w:ascii="Tahoma;sans-serif" w:hAnsi="Tahoma;sans-serif"/>
                  <w:b w:val="false"/>
                  <w:color w:val="0000FF"/>
                  <w:sz w:val="20"/>
                  <w:u w:val="single"/>
                </w:rPr>
                <w:t>13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1B.</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22">
              <w:r>
                <w:rPr>
                  <w:rStyle w:val="InternetLink"/>
                  <w:rFonts w:ascii="Tahoma;sans-serif" w:hAnsi="Tahoma;sans-serif"/>
                  <w:b w:val="false"/>
                  <w:color w:val="0000FF"/>
                  <w:sz w:val="20"/>
                  <w:u w:val="single"/>
                </w:rPr>
                <w:t>Unresolved Staff Comments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22">
              <w:r>
                <w:rPr>
                  <w:rStyle w:val="InternetLink"/>
                  <w:rFonts w:ascii="Tahoma;sans-serif" w:hAnsi="Tahoma;sans-serif"/>
                  <w:b w:val="false"/>
                  <w:color w:val="0000FF"/>
                  <w:sz w:val="20"/>
                  <w:u w:val="single"/>
                </w:rPr>
                <w:t>40</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Item 1C.</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885">
              <w:r>
                <w:rPr>
                  <w:rStyle w:val="InternetLink"/>
                  <w:rFonts w:ascii="Tahoma;sans-serif" w:hAnsi="Tahoma;sans-serif"/>
                  <w:b w:val="false"/>
                  <w:color w:val="000080"/>
                  <w:sz w:val="20"/>
                  <w:u w:val="single"/>
                </w:rPr>
                <w:t>C</w:t>
              </w:r>
            </w:hyperlink>
            <w:hyperlink w:anchor="i83a6100a49c34fdf8937706c1bd49b5f_885">
              <w:r>
                <w:rPr>
                  <w:rStyle w:val="InternetLink"/>
                  <w:rFonts w:ascii="Tahoma;sans-serif" w:hAnsi="Tahoma;sans-serif"/>
                  <w:b w:val="false"/>
                  <w:color w:val="000080"/>
                  <w:sz w:val="20"/>
                  <w:u w:val="single"/>
                </w:rPr>
                <w:t>ybersecurity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885">
              <w:r>
                <w:rPr>
                  <w:rStyle w:val="InternetLink"/>
                  <w:rFonts w:ascii="Tahoma;sans-serif" w:hAnsi="Tahoma;sans-serif"/>
                  <w:b w:val="false"/>
                  <w:color w:val="0000FF"/>
                  <w:sz w:val="20"/>
                  <w:u w:val="single"/>
                </w:rPr>
                <w:t>40</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25">
              <w:r>
                <w:rPr>
                  <w:rStyle w:val="InternetLink"/>
                  <w:rFonts w:ascii="Tahoma;sans-serif" w:hAnsi="Tahoma;sans-serif"/>
                  <w:b w:val="false"/>
                  <w:color w:val="0000FF"/>
                  <w:sz w:val="20"/>
                  <w:u w:val="single"/>
                </w:rPr>
                <w:t>Properties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25">
              <w:r>
                <w:rPr>
                  <w:rStyle w:val="InternetLink"/>
                  <w:rFonts w:ascii="Tahoma;sans-serif" w:hAnsi="Tahoma;sans-serif"/>
                  <w:b w:val="false"/>
                  <w:color w:val="0000FF"/>
                  <w:sz w:val="20"/>
                  <w:u w:val="single"/>
                </w:rPr>
                <w:t>40</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28">
              <w:r>
                <w:rPr>
                  <w:rStyle w:val="InternetLink"/>
                  <w:rFonts w:ascii="Tahoma;sans-serif" w:hAnsi="Tahoma;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28">
              <w:r>
                <w:rPr>
                  <w:rStyle w:val="InternetLink"/>
                  <w:rFonts w:ascii="Tahoma;sans-serif" w:hAnsi="Tahoma;sans-serif"/>
                  <w:b w:val="false"/>
                  <w:color w:val="0000FF"/>
                  <w:sz w:val="20"/>
                  <w:u w:val="single"/>
                </w:rPr>
                <w:t>41</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31">
              <w:r>
                <w:rPr>
                  <w:rStyle w:val="InternetLink"/>
                  <w:rFonts w:ascii="Tahoma;sans-serif" w:hAnsi="Tahoma;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31">
              <w:r>
                <w:rPr>
                  <w:rStyle w:val="InternetLink"/>
                  <w:rFonts w:ascii="Tahoma;sans-serif" w:hAnsi="Tahoma;sans-serif"/>
                  <w:b w:val="false"/>
                  <w:color w:val="0000FF"/>
                  <w:sz w:val="20"/>
                  <w:u w:val="single"/>
                </w:rPr>
                <w:t>41</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5.</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37">
              <w:r>
                <w:rPr>
                  <w:rStyle w:val="InternetLink"/>
                  <w:rFonts w:ascii="Tahoma;sans-serif" w:hAnsi="Tahoma;sans-serif"/>
                  <w:b w:val="false"/>
                  <w:color w:val="0000FF"/>
                  <w:sz w:val="20"/>
                  <w:u w:val="single"/>
                </w:rPr>
                <w:t>Market for Registrant's Common Equity, Related Stockholder Matters, and Issuer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37">
              <w:r>
                <w:rPr>
                  <w:rStyle w:val="InternetLink"/>
                  <w:rFonts w:ascii="Tahoma;sans-serif" w:hAnsi="Tahoma;sans-serif"/>
                  <w:b w:val="false"/>
                  <w:color w:val="0000FF"/>
                  <w:sz w:val="20"/>
                  <w:u w:val="single"/>
                </w:rPr>
                <w:t>42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6.</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40">
              <w:r>
                <w:rPr>
                  <w:rStyle w:val="InternetLink"/>
                  <w:rFonts w:ascii="Tahoma;sans-serif" w:hAnsi="Tahoma;sans-serif"/>
                  <w:b w:val="false"/>
                  <w:color w:val="0000FF"/>
                  <w:sz w:val="20"/>
                  <w:u w:val="single"/>
                </w:rPr>
                <w:t>[Reserved]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40">
              <w:r>
                <w:rPr>
                  <w:rStyle w:val="InternetLink"/>
                  <w:rFonts w:ascii="Tahoma;sans-serif" w:hAnsi="Tahoma;sans-serif"/>
                  <w:b w:val="false"/>
                  <w:color w:val="0000FF"/>
                  <w:sz w:val="20"/>
                  <w:u w:val="single"/>
                </w:rPr>
                <w:t>44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7.</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43">
              <w:r>
                <w:rPr>
                  <w:rStyle w:val="InternetLink"/>
                  <w:rFonts w:ascii="Tahoma;sans-serif" w:hAnsi="Tahoma;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43">
              <w:r>
                <w:rPr>
                  <w:rStyle w:val="InternetLink"/>
                  <w:rFonts w:ascii="Tahoma;sans-serif" w:hAnsi="Tahoma;sans-serif"/>
                  <w:b w:val="false"/>
                  <w:color w:val="0000FF"/>
                  <w:sz w:val="20"/>
                  <w:u w:val="single"/>
                </w:rPr>
                <w:t>45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7A.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79">
              <w:r>
                <w:rPr>
                  <w:rStyle w:val="InternetLink"/>
                  <w:rFonts w:ascii="Tahoma;sans-serif" w:hAnsi="Tahoma;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79">
              <w:r>
                <w:rPr>
                  <w:rStyle w:val="InternetLink"/>
                  <w:rFonts w:ascii="Tahoma;sans-serif" w:hAnsi="Tahoma;sans-serif"/>
                  <w:b w:val="false"/>
                  <w:color w:val="0000FF"/>
                  <w:sz w:val="20"/>
                  <w:u w:val="single"/>
                </w:rPr>
                <w:t>63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8.</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82">
              <w:r>
                <w:rPr>
                  <w:rStyle w:val="InternetLink"/>
                  <w:rFonts w:ascii="Tahoma;sans-serif" w:hAnsi="Tahoma;sans-serif"/>
                  <w:b w:val="false"/>
                  <w:color w:val="0000FF"/>
                  <w:sz w:val="20"/>
                  <w:u w:val="single"/>
                </w:rPr>
                <w:t>Financial Statements and Supplementary Data</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82">
              <w:r>
                <w:rPr>
                  <w:rStyle w:val="InternetLink"/>
                  <w:rFonts w:ascii="Tahoma;sans-serif" w:hAnsi="Tahoma;sans-serif"/>
                  <w:b w:val="false"/>
                  <w:color w:val="0000FF"/>
                  <w:sz w:val="20"/>
                  <w:u w:val="single"/>
                </w:rPr>
                <w:t>65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60">
              <w:r>
                <w:rPr>
                  <w:rStyle w:val="InternetLink"/>
                  <w:rFonts w:ascii="Tahoma;sans-serif" w:hAnsi="Tahoma;sans-serif"/>
                  <w:b w:val="false"/>
                  <w:color w:val="0000FF"/>
                  <w:sz w:val="20"/>
                  <w:u w:val="single"/>
                </w:rPr>
                <w:t>Changes In and Disagreements with Accountants on Accounting and Financial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60">
              <w:r>
                <w:rPr>
                  <w:rStyle w:val="InternetLink"/>
                  <w:rFonts w:ascii="Tahoma;sans-serif" w:hAnsi="Tahoma;sans-serif"/>
                  <w:b w:val="false"/>
                  <w:color w:val="0000FF"/>
                  <w:sz w:val="20"/>
                  <w:u w:val="single"/>
                </w:rPr>
                <w:t>102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63">
              <w:r>
                <w:rPr>
                  <w:rStyle w:val="InternetLink"/>
                  <w:rFonts w:ascii="Tahoma;sans-serif" w:hAnsi="Tahoma;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63">
              <w:r>
                <w:rPr>
                  <w:rStyle w:val="InternetLink"/>
                  <w:rFonts w:ascii="Tahoma;sans-serif" w:hAnsi="Tahoma;sans-serif"/>
                  <w:b w:val="false"/>
                  <w:color w:val="0000FF"/>
                  <w:sz w:val="20"/>
                  <w:u w:val="single"/>
                </w:rPr>
                <w:t>102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9B.</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66">
              <w:r>
                <w:rPr>
                  <w:rStyle w:val="InternetLink"/>
                  <w:rFonts w:ascii="Tahoma;sans-serif" w:hAnsi="Tahoma;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66">
              <w:r>
                <w:rPr>
                  <w:rStyle w:val="InternetLink"/>
                  <w:rFonts w:ascii="Tahoma;sans-serif" w:hAnsi="Tahoma;sans-serif"/>
                  <w:b w:val="false"/>
                  <w:color w:val="0000FF"/>
                  <w:sz w:val="20"/>
                  <w:u w:val="single"/>
                </w:rPr>
                <w:t>103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9C.</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69">
              <w:r>
                <w:rPr>
                  <w:rStyle w:val="InternetLink"/>
                  <w:rFonts w:ascii="Tahoma;sans-serif" w:hAnsi="Tahoma;sans-serif"/>
                  <w:b w:val="false"/>
                  <w:color w:val="0000FF"/>
                  <w:sz w:val="20"/>
                  <w:u w:val="single"/>
                </w:rPr>
                <w:t>Disclosure Regarding Foreign Jurisdictions that Prevent Inspections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69">
              <w:r>
                <w:rPr>
                  <w:rStyle w:val="InternetLink"/>
                  <w:rFonts w:ascii="Tahoma;sans-serif" w:hAnsi="Tahoma;sans-serif"/>
                  <w:b w:val="false"/>
                  <w:color w:val="0000FF"/>
                  <w:sz w:val="20"/>
                  <w:u w:val="single"/>
                </w:rPr>
                <w:t>103</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III.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10.</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75">
              <w:r>
                <w:rPr>
                  <w:rStyle w:val="InternetLink"/>
                  <w:rFonts w:ascii="Tahoma;sans-serif" w:hAnsi="Tahoma;sans-serif"/>
                  <w:b w:val="false"/>
                  <w:color w:val="0000FF"/>
                  <w:sz w:val="20"/>
                  <w:u w:val="single"/>
                </w:rPr>
                <w:t>Directors, Executive Officers and Corporate Governance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75">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78">
              <w:r>
                <w:rPr>
                  <w:rStyle w:val="InternetLink"/>
                  <w:rFonts w:ascii="Tahoma;sans-serif" w:hAnsi="Tahoma;sans-serif"/>
                  <w:b w:val="false"/>
                  <w:color w:val="0000FF"/>
                  <w:sz w:val="20"/>
                  <w:u w:val="single"/>
                </w:rPr>
                <w:t>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78">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81">
              <w:r>
                <w:rPr>
                  <w:rStyle w:val="InternetLink"/>
                  <w:rFonts w:ascii="Tahoma;sans-serif" w:hAnsi="Tahoma;sans-serif"/>
                  <w:b w:val="false"/>
                  <w:color w:val="0000FF"/>
                  <w:sz w:val="20"/>
                  <w:u w:val="single"/>
                </w:rPr>
                <w:t>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81">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84">
              <w:r>
                <w:rPr>
                  <w:rStyle w:val="InternetLink"/>
                  <w:rFonts w:ascii="Tahoma;sans-serif" w:hAnsi="Tahoma;sans-serif"/>
                  <w:b w:val="false"/>
                  <w:color w:val="0000FF"/>
                  <w:sz w:val="20"/>
                  <w:u w:val="single"/>
                </w:rPr>
                <w:t>Certain Relationships and Related Transactions and Director Independence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84">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87">
              <w:r>
                <w:rPr>
                  <w:rStyle w:val="InternetLink"/>
                  <w:rFonts w:ascii="Tahoma;sans-serif" w:hAnsi="Tahoma;sans-serif"/>
                  <w:b w:val="false"/>
                  <w:color w:val="0000FF"/>
                  <w:sz w:val="20"/>
                  <w:u w:val="single"/>
                </w:rPr>
                <w:t xml:space="preserve">Principal Accountant Fees and Services </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87">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IV.</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15.</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93">
              <w:r>
                <w:rPr>
                  <w:rStyle w:val="InternetLink"/>
                  <w:rFonts w:ascii="Tahoma;sans-serif" w:hAnsi="Tahoma;sans-serif"/>
                  <w:b w:val="false"/>
                  <w:color w:val="000080"/>
                  <w:sz w:val="20"/>
                  <w:u w:val="single"/>
                </w:rPr>
                <w:t>Exhibit</w:t>
              </w:r>
            </w:hyperlink>
            <w:hyperlink w:anchor="i83a6100a49c34fdf8937706c1bd49b5f_193">
              <w:r>
                <w:rPr>
                  <w:rStyle w:val="InternetLink"/>
                  <w:rFonts w:ascii="Tahoma;sans-serif" w:hAnsi="Tahoma;sans-serif"/>
                  <w:b w:val="false"/>
                  <w:color w:val="000080"/>
                  <w:sz w:val="20"/>
                  <w:u w:val="single"/>
                </w:rPr>
                <w:t>s</w:t>
              </w:r>
            </w:hyperlink>
            <w:hyperlink w:anchor="i83a6100a49c34fdf8937706c1bd49b5f_193">
              <w:r>
                <w:rPr>
                  <w:rStyle w:val="InternetLink"/>
                  <w:rFonts w:ascii="Tahoma;sans-serif" w:hAnsi="Tahoma;sans-serif"/>
                  <w:b w:val="false"/>
                  <w:color w:val="000080"/>
                  <w:sz w:val="20"/>
                  <w:u w:val="single"/>
                </w:rPr>
                <w:t xml:space="preserve"> and</w:t>
              </w:r>
            </w:hyperlink>
            <w:hyperlink w:anchor="i83a6100a49c34fdf8937706c1bd49b5f_193">
              <w:r>
                <w:rPr>
                  <w:rStyle w:val="InternetLink"/>
                  <w:rFonts w:ascii="Tahoma;sans-serif" w:hAnsi="Tahoma;sans-serif"/>
                  <w:b w:val="false"/>
                  <w:color w:val="000080"/>
                  <w:sz w:val="20"/>
                  <w:u w:val="single"/>
                </w:rPr>
                <w:t xml:space="preserve">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93">
              <w:r>
                <w:rPr>
                  <w:rStyle w:val="InternetLink"/>
                  <w:rFonts w:ascii="Tahoma;sans-serif" w:hAnsi="Tahoma;sans-serif"/>
                  <w:b w:val="false"/>
                  <w:color w:val="0000FF"/>
                  <w:sz w:val="20"/>
                  <w:u w:val="single"/>
                </w:rPr>
                <w:t>105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16.</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96">
              <w:r>
                <w:rPr>
                  <w:rStyle w:val="InternetLink"/>
                  <w:rFonts w:ascii="Tahoma;sans-serif" w:hAnsi="Tahoma;sans-serif"/>
                  <w:b w:val="false"/>
                  <w:color w:val="0000FF"/>
                  <w:sz w:val="20"/>
                  <w:u w:val="single"/>
                </w:rPr>
                <w:t>Form 10-K Summary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96">
              <w:r>
                <w:rPr>
                  <w:rStyle w:val="InternetLink"/>
                  <w:rFonts w:ascii="Tahoma;sans-serif" w:hAnsi="Tahoma;sans-serif"/>
                  <w:b w:val="false"/>
                  <w:color w:val="0000FF"/>
                  <w:sz w:val="20"/>
                  <w:u w:val="single"/>
                </w:rPr>
                <w:t>109</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99">
              <w:r>
                <w:rPr>
                  <w:rStyle w:val="InternetLink"/>
                  <w:rFonts w:ascii="Tahoma;sans-serif" w:hAnsi="Tahoma;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99">
              <w:r>
                <w:rPr>
                  <w:rStyle w:val="InternetLink"/>
                  <w:rFonts w:ascii="Tahoma;sans-serif" w:hAnsi="Tahoma;sans-serif"/>
                  <w:b w:val="false"/>
                  <w:color w:val="0000FF"/>
                  <w:sz w:val="20"/>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3670"/>
                <wp:effectExtent l="0" t="0" r="0" b="0"/>
                <wp:wrapNone/>
                <wp:docPr id="4" name="Frame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 Business.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Overview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Corporation (together with its subsidiaries, “Appian,” “the Company,” “we,” or “our”) is a software company that automates business processes and operationalizes artificial intelligence (“AI”) with low-code design, providing rapid time to value for our customers. We empower our customers to transform the way they work by using our platform to combine people, technologies, and data in end-to-end processes that can maximize our customers' resources and dramatically improve business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organizations across all industries face pressure to keep up with a rapid pace of technological innovation, particularly in AI. The past year has ushered in a whole new economy, in which AI promises to transform workflows to drive efficiency and innovation. As we enter 2024, the focus will shift from exploring these technologies to actively leveraging them to innovate with new products, services, and value creation for customers and employees alike. We believe companies that can quickly incorporate AI's full potential into their business processes will lead the future AI economy.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dedicated to helping our customers navigate this new AI economy and realize transformational change. We see a human-centric future for AI, one of teamwork rather than replacement, where AI adds value to data and employees, and where all customers and businesses—not big tech—are the winners.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recognize AI is not a standalone technology. It is highly dependent on two foundational technologies: data and process. </w:t>
      </w:r>
    </w:p>
    <w:p>
      <w:pPr>
        <w:pStyle w:val="TextBody"/>
        <w:bidi w:val="0"/>
        <w:spacing w:before="0" w:after="0"/>
        <w:ind w:left="0" w:right="0" w:firstLine="360"/>
        <w:jc w:val="left"/>
        <w:rPr/>
      </w:pPr>
      <w:r>
        <w:rPr/>
      </w:r>
    </w:p>
    <w:p>
      <w:pPr>
        <w:pStyle w:val="TextBody"/>
        <w:bidi w:val="0"/>
        <w:spacing w:before="0" w:after="0"/>
        <w:ind w:left="0" w:right="0" w:firstLine="360"/>
        <w:jc w:val="center"/>
        <w:rPr/>
      </w:pPr>
      <w:r>
        <w:rPr/>
        <w:drawing>
          <wp:inline distT="0" distB="0" distL="0" distR="0">
            <wp:extent cx="2581275" cy="22574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581275" cy="2257425"/>
                    </a:xfrm>
                    <a:prstGeom prst="rect">
                      <a:avLst/>
                    </a:prstGeom>
                  </pic:spPr>
                </pic:pic>
              </a:graphicData>
            </a:graphic>
          </wp:inline>
        </w:drawing>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Data is the intellectual fuel for AI, empowering it to make smart, informed decisions. The more data AI gets, and the better that data is, the better the AI answers may be. Data was already among the most important assets for leading organizations; now, it’s worth more than ever. Process is the necessary layer for customers to create a mixed autonomy, routing tasks between humans and AI automations. We believe customers will increasingly rely on AI to accelerate common tasks but must ensure humans maintain control and oversight of business processes.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offer leading expertise in all three areas. We have been leveraging AI technologies for many years as part of our automation suite. We have a leading data fabric which powered billions of data fabric queries in 2023, and we offer innovative process platforms, supporting billions of transactions every day. We weave all three elements together in a single product that empowers our customers to achieve rapid value.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3670"/>
                <wp:effectExtent l="0" t="0" r="0" b="0"/>
                <wp:wrapNone/>
                <wp:docPr id="6" name="Frame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The Appian Platform</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Appian Platform enables customers to easily design, automate, and optimize their mission-critical business processes, driving continuous innovation. Through Appian's unified platform, customers can swiftly develop new digital solutions using a low-code approach, creating applications and workflows tailored to their unique business requirements.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catalyze the AI-driven enterprise by combining AI, data, and process capabilities in a single platform. Our low-code design experience delivers solutions for customers quickly. It is unified, reduces training times and dependencies on additional tools, and is built for enterprise-grade applications requiring high reliability, security, and scalability. Appian’s architecture is based on our four critical capabilities: process automation, data fabric, total experience, and continuous improvement through process mining.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Process Automation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a long-time innovator in process automation. Our process capabilities are crucial in orchestrating AI alongside humans and systems within business environments. Our business rules technology allows organizations to encode and enforce policies and routing decisions that reduce risk, while our native RPA and AI enable organizations to automate process steps to deliver greater efficiency and increase customer and employee satisfaction. We sell our platform as a unified set of automation technologies that accelerates customer implementation times and return on investment.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Data Fabric</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Data is at the heart of AI's transformative power, and we excel in enabling customers to utilize data effectively. By leveraging our sophisticated data fabric, organizations can unify data across the enterprise into a single virtual data model, empower users to make informed decisions, and train AI models, transforming reservoirs of enterprise data into a source of powerful innovation. This capability is pivotal in feeding AI algorithms and human workers with quality data and extracting meaningful insights that drive business decisions. In addition, the secure infrastructure of our data fabric architecture is designed to provide a safe environment for storing and handling sensitive information, ensuring confidential data remains protected.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Total Experience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Total experience is about creating superior experiences across desktop and mobile devices for every user, uniting customers and employees in a seamless workflow. Our patented Self-Assembling Interface Layer, or SAIL, user experience architecture delivers the speed and flexibility to provide new experiences that capture our customers’ brands quickly and instantly work on the latest web browsers and mobile devices.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Continuous Improvement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integrated process mining and process analytics capabilities enable customers to measure and track their process performance accurately. Customers can gain a deeper understanding of their business operations and pinpoint areas for improvement. Using this data, customers can drive continuous process improvement and optimize their processes for maximum efficiency and effectiveness. These features provide customers with the necessary insights to make informed decisions and optimize their operations to meet the evolving needs of their business.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Go-to-Market Strategy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go-to-market strategy consists of both direct sales and sales through strategic partners. We sell our software almost exclusively as subscriptions. We intend to grow our revenue by adding new customers, increasing the product usage of existing customers, and expanding product usage across new business processes and applications. Our strategic partners work with organizations undergoing digital transformation projects, and when they recognize an opportunity for our platform, they often introduce us to potential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3670"/>
                <wp:effectExtent l="0" t="0" r="0" b="0"/>
                <wp:wrapNone/>
                <wp:docPr id="7" name="Frame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Many of our customers begin by building a single application and grow to create dozens of applications on our platform, which implicitly increases their return on investment. Generally, the development of new applications results in the expansion of our product usage within an organization and a corresponding increase in our revenue due to subscription fees. Every additional application an organization creates on our platform increases the value of our platform for that organization because it further integrates people, processes, and data and facilitates knowledge sharing. Applications built on our platform may be used only on our platform and only while customers have active subscriptions, creating a substantial incentive for customers to avoid the difficulties and costs associated with moving to a different software platform. At the same time, our industry-leading Customer Success team helps customers build and deploy applications on our platform to achieve their digital transformation goals more quickly.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Growth Strategy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Key elements of our growth strategy include:</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Expand our customer base.</w:t>
      </w:r>
      <w:r>
        <w:rPr>
          <w:color w:val="000000"/>
        </w:rPr>
        <w:t xml:space="preserve"> </w:t>
      </w:r>
      <w:r>
        <w:rPr>
          <w:rFonts w:ascii="Tahoma;sans-serif" w:hAnsi="Tahoma;sans-serif"/>
          <w:b w:val="false"/>
          <w:color w:val="000000"/>
          <w:sz w:val="20"/>
        </w:rPr>
        <w:t>We continue to grow our customer base in various industries, including financial services, government, life sciences, insurance, manufacturing, energy, healthcare, telecommunications, and transportation. We believe the market for our platform is still in its early stages, and we have a significant opportunity to add additional large enterprise and government customers globally. We also have a strong ecosystem of strategic partners that help identify new customer opportunities for us.</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 xml:space="preserve">Grow revenue from key industry verticals. </w:t>
      </w:r>
      <w:r>
        <w:rPr>
          <w:rFonts w:ascii="Tahoma;sans-serif" w:hAnsi="Tahoma;sans-serif"/>
          <w:b w:val="false"/>
          <w:color w:val="000000"/>
          <w:sz w:val="20"/>
        </w:rPr>
        <w:t>While our platform is industry-agnostic, we continue to make investments to enhance the expertise of our sales and marketing organization within our key industry verticals of financial services, government, life sciences, insurance, and manufacturing. In 2023, we generated over 76% of our subscriptions revenue from customers in these verticals. We believe focusing on the digital transformation needs of organizations within these industry verticals helps drive adoption of our platform.</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Continue to innovate and enhance our platform</w:t>
      </w:r>
      <w:r>
        <w:rPr>
          <w:rFonts w:ascii="Tahoma;sans-serif" w:hAnsi="Tahoma;sans-serif"/>
          <w:b/>
          <w:color w:val="000000"/>
          <w:sz w:val="20"/>
        </w:rPr>
        <w:t>.</w:t>
      </w:r>
      <w:r>
        <w:rPr>
          <w:color w:val="000000"/>
        </w:rPr>
        <w:t xml:space="preserve"> </w:t>
      </w:r>
      <w:r>
        <w:rPr>
          <w:rFonts w:ascii="Tahoma;sans-serif" w:hAnsi="Tahoma;sans-serif"/>
          <w:b w:val="false"/>
          <w:color w:val="000000"/>
          <w:sz w:val="20"/>
        </w:rPr>
        <w:t>We continue to invest in research and development to strengthen our platform and expand the number of features available to our customers. We offer multiple upgrades each year that allow our customers to benefit from ongoing innovation. As we continue to increase the functionality of our platform and further reduce the amount of developer skill required to quickly deliver value for our customers, we believe we have the potential to expand the use of our platform.</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Offer industry solutions to accelerate customer usage</w:t>
      </w:r>
      <w:r>
        <w:rPr>
          <w:rFonts w:ascii="Tahoma;sans-serif" w:hAnsi="Tahoma;sans-serif"/>
          <w:b/>
          <w:color w:val="000000"/>
          <w:sz w:val="20"/>
        </w:rPr>
        <w:t>.</w:t>
      </w:r>
      <w:r>
        <w:rPr>
          <w:color w:val="000000"/>
        </w:rPr>
        <w:t xml:space="preserve"> </w:t>
      </w:r>
      <w:r>
        <w:rPr>
          <w:rFonts w:ascii="Tahoma;sans-serif" w:hAnsi="Tahoma;sans-serif"/>
          <w:b w:val="false"/>
          <w:color w:val="000000"/>
          <w:sz w:val="20"/>
        </w:rPr>
        <w:t>Our platform enables our customers to build applications quickly. We, along with our partners, offer pre-built solutions in certain of our key industries such as financial services, government acquisition, and insurance to give our customers an even faster start. Every Appian solution is built on our platform and designed to be standardized, upgradeable, and compatible with each other.</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 xml:space="preserve">Expand our international footprint. </w:t>
      </w:r>
      <w:r>
        <w:rPr>
          <w:rFonts w:ascii="Tahoma;sans-serif" w:hAnsi="Tahoma;sans-serif"/>
          <w:b w:val="false"/>
          <w:color w:val="000000"/>
          <w:sz w:val="20"/>
        </w:rPr>
        <w:t>Our platform is designed to be natively multilingual to facilitate collaboration and address challenges in multinational organizations. Appian Cloud meets the data residency requirements of our global customers by operating in 16 countries across 33 regions and 105 availability zones. In 2023, approximately 36% of our total revenue was</w:t>
      </w:r>
      <w:r>
        <w:rPr>
          <w:color w:val="000000"/>
        </w:rPr>
        <w:t xml:space="preserve"> </w:t>
      </w:r>
      <w:r>
        <w:rPr>
          <w:rFonts w:ascii="Tahoma;sans-serif" w:hAnsi="Tahoma;sans-serif"/>
          <w:b w:val="false"/>
          <w:color w:val="000000"/>
          <w:sz w:val="20"/>
        </w:rPr>
        <w:t>generated from customers outside of the United States. We believe we have a significant opportunity to continue to grow our international footprint. We are investing in new geographies through direct and indirect sales channels, professional services and customer support, and implementation partners.</w:t>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 xml:space="preserve">Leverage our partner base. </w:t>
      </w:r>
      <w:r>
        <w:rPr>
          <w:rFonts w:ascii="Tahoma;sans-serif" w:hAnsi="Tahoma;sans-serif"/>
          <w:b w:val="false"/>
          <w:color w:val="000000"/>
          <w:sz w:val="20"/>
        </w:rPr>
        <w:t>We have strategic partnerships including with Accenture, Capgemini, Deloitte, EY, KPMG, PwC, and TCS. These partners work with organizations undergoing digital transformation projects. When they recognize an opportunity for our platform, they introduce us to potential customers. Additionally, they go to market with their own pre-built solutions using our platform, delivering software license revenue to Appian. We intend to further leverage our base of partners to provide broader customer coverage and solution delivery capabilities.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3670"/>
                <wp:effectExtent l="0" t="0" r="0" b="0"/>
                <wp:wrapNone/>
                <wp:docPr id="8" name="Frame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Human Capital Resources and Management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Employees, Culture, and Labor Relations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distinct culture of innovation is an important contributor to our success as a company. We promote an inclusive environment where our employees can contribute their unique perspectives to help create transformative solutions for our customers. Our culture was purposefully cultivated by our four founders, who are still heavily involved in operating our business, including recruiting, interviewing, and educating new employees at Appian. Led by Matt Calkins, one of our founders and our Chief Executive Officer, we have grown our business organically by employing a unified team to maximize the cohesion and simplicity of our platform and our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we had a total global workforce of 2,243 full-time employees, 1,518 of which were based in the United States. None of our U.S. employees are covered by collective bargaining agreements. We believe our employee relations are good, and we have not experienced any work stoppages. Additionally, we are subject to, and comply with, local labor law requirements in all countries in which we operate.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Talent Acquisition and Development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robust talent acquisition program to attract, recruit, and retain new talent. We utilize an extensive campus recruiting program, provide an employee referral program, and offer opportunities for internal transfers, as well as competitive compensation and benefits programs. We also provide resources to help our employees grow in their current roles and build new skills, including access to Appian University, a system that houses Appian's in-house learning and development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Inclusion and Diversity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respect all people. We believe diversity of ideas and an inclusive environment are paramount to our continued success. We also believe our individual experiences, knowledge, and ways of working enable us to learn from one another and discover creative solutions. We sponsor a number of affinity groups, initiated by employees, that aim to build stronger internal and external networks and partnerships, create a positive lasting impact through social and educational outreach, and create development opportunities for future leaders.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Facilities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we lease our headquarters office in McLean, Virginia, and we also have five leased offices in cities outside the United States. In addition to our leased offices, we occupied seven flexible workspaces outside of the United States. Our use of flexible workspaces is dependent upon our current business needs. We believe our facilities are adequate to meet our ongoing needs, including substantial rights to expand within certain properties we lease. If we require additional space in the future, we believe we will be able to obtain additional facilities on commercially reasonable terms.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historically experienced seasonality in terms of when we enter into agreements with customers. See “Seasonality - Management Discussion and Analysis Financial Condition and Results of Operations” for a discussion of the seasonality of our business.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Our Customers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customers operate in various industries, including financial services, government, life sciences, insurance, manufacturing, energy, healthcare, telecommunications, and transportation. As of December 31, 2023, we had approximately 1,000 customers. Generally, our sales team targets its efforts to organizations with over 2,000 employees and $2 billion in annual revenue. The number of customers paying us in excess of $1 million of annual recurring revenue has grown from 94 at the end of 2022 to 110 at the end of 2023. No single end customer accounted for more than 10% of our total revenue in 2023, 2022, or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3670"/>
                <wp:effectExtent l="0" t="0" r="0" b="0"/>
                <wp:wrapNone/>
                <wp:docPr id="9" name="Frame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main competitors fall into three categories: (1) providers of custom software solutions that address, or are developed to address, some of the use cases that applications developed on our platform target; (2) providers of low-code development platforms; and (3) providers of one or more automation technologies, including business process management, case management, process mining, and robotic process automation.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our market grows, we expect it will attract more highly specialized vendors as well as larger vendors that may continue to acquire or bundle their products more effectively. The principal competitive factors in our market include: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Platform features, reliability, performance, and effectiveness;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Ease of use and speed;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Data Fabric;</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Platform extensibility and ability to integrate with other technology infrastructures;</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Deployment flexibility;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Robustness of professional services and customer support;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Price and total cost of ownership;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Strength of platform security and adherence to industry standards and certifications;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Strength of sales and marketing efforts; and </w:t>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 xml:space="preserve">Brand awareness and reputation.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we generally compete favorably with our peer group with respect to the features, security, and performance of our platform, the ease of integration of our applications, and the relatively low total cost of ownership of our applications.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feel this is validated by the fact Gartner ranked Appian #1 for the Business Workflow Automation with Integration Use Case in the 2023 Gartner® Critical Capabilities for Enterprise Low-Code Application Platforms, or LCAP, report as well as positioned as a Leader in the 2023 Gartner® Magic Quadrant for Enterprise LCAP. Gartner, Critical Capabilities for Enterprise Low-Code Application Platforms, October 2023 Gartner, Magic Quadrant for Enterprise Low-Code Application Platforms, October 2023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 GARTNER and Magic Quadrant are registered trademarks and service marks of Gartner, Inc. and/or its affiliates in the U.S. and internationally and is used herein with permission. All rights reserved. The Gartner content described herein, (the "Gartner Content") represent(s) research opinion or viewpoints published, as part of a syndicated subscription service, by Gartner, Inc. ("Gartner"), and are not representations of fact. Gartner Content speaks as of its original publication date (and not as of the date of this 10K) and the opinions expressed in the Gartner Content are subject to change without notice.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 xml:space="preserve">Intellectual Property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depends in part upon our ability to protect our core technology and intellectual property. We rely on patents, trademarks, copyrights, trade secret laws, confidentiality procedures, and employee disclosure and invention assignment agreements to protect our intellectual property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we had 16 granted patents and nine patents pending related to our platform and its technology. None of our issued patents expire before 2034. We cannot provide complete assurance that any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3670"/>
                <wp:effectExtent l="0" t="0" r="0" b="0"/>
                <wp:wrapNone/>
                <wp:docPr id="10" name="Frame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patent applications will result in the issuance of a patent or that the examination process will not require us to narrow our claims. Any patents we may be issued may be contested, circumvented, found unenforceable, or invalidated, and we may not be able to prevent third parties from infringing them. We also license software from third parties for integration into our products, including open source software and other software available on commercially reasonable terms. We control access to and use of our proprietary software and other confidential information through the use of internal and external controls, including contractual protections with employees, contractors, end customers, and partners, and our software is protected by U.S. and international copyright and trade secret laws.</w:t>
      </w:r>
    </w:p>
    <w:p>
      <w:pPr>
        <w:pStyle w:val="TextBody"/>
        <w:bidi w:val="0"/>
        <w:spacing w:before="0" w:after="0"/>
        <w:ind w:left="0" w:right="0" w:firstLine="360"/>
        <w:jc w:val="both"/>
        <w:rPr/>
      </w:pPr>
      <w:r>
        <w:rPr/>
      </w:r>
    </w:p>
    <w:p>
      <w:pPr>
        <w:pStyle w:val="TextBody"/>
        <w:bidi w:val="0"/>
        <w:spacing w:lineRule="auto" w:line="288" w:before="0" w:after="0"/>
        <w:jc w:val="both"/>
        <w:rPr>
          <w:rFonts w:ascii="Tahoma;sans-serif" w:hAnsi="Tahoma;sans-serif"/>
          <w:b/>
          <w:color w:val="000000"/>
          <w:sz w:val="20"/>
        </w:rPr>
      </w:pPr>
      <w:r>
        <w:rPr>
          <w:rFonts w:ascii="Tahoma;sans-serif" w:hAnsi="Tahoma;sans-serif"/>
          <w:b/>
          <w:color w:val="000000"/>
          <w:sz w:val="20"/>
        </w:rPr>
        <w:t>Corporate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A common stock is listed on the Nasdaq Global Market under the symbol “APPN.”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corporate headquarters is located at 7950 Jones Branch Drive, McLean, Virginia 22102, and our telephone number is (703) 442-8844.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color w:val="000000"/>
        </w:rPr>
      </w:pPr>
      <w:r>
        <w:rPr>
          <w:color w:val="000000"/>
        </w:rPr>
        <w:t>“</w:t>
      </w:r>
      <w:r>
        <w:rPr>
          <w:rFonts w:ascii="Tahoma;sans-serif" w:hAnsi="Tahoma;sans-serif"/>
          <w:b w:val="false"/>
          <w:color w:val="000000"/>
          <w:sz w:val="20"/>
        </w:rPr>
        <w:t>Appian,” the Appian logo, and other trademarks or service marks of Appian Corporation appearing in this Annual Report on Form 10-K are the property of Appian Corporation. This Annual Report on Form 10-K contains additional trade names, trademarks, and service marks of others, which are the property of their respective owners. Solely for convenience, trademarks and trade names referred to in this Annual Report on Form 10-K exclude the ® or TM symbols.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Available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Our website address is </w:t>
      </w:r>
      <w:r>
        <w:rPr>
          <w:rFonts w:ascii="Tahoma;sans-serif" w:hAnsi="Tahoma;sans-serif"/>
          <w:b w:val="false"/>
          <w:i/>
          <w:color w:val="000000"/>
          <w:sz w:val="20"/>
        </w:rPr>
        <w:t>www.appian.com</w:t>
      </w:r>
      <w:r>
        <w:rPr>
          <w:rFonts w:ascii="Tahoma;sans-serif" w:hAnsi="Tahoma;sans-serif"/>
          <w:b w:val="false"/>
          <w:color w:val="000000"/>
          <w:sz w:val="20"/>
        </w:rPr>
        <w:t>. Our Annual Report on Form 10-K, Quarterly Reports on Form 10-Q, Current Reports on Form 8-K, and amendments to reports filed pursuant to Sections 13(a) and 15(d) of the Exchange Act are made available free of charge on or through our website at</w:t>
      </w:r>
      <w:r>
        <w:rPr>
          <w:color w:val="000000"/>
        </w:rPr>
        <w:t> </w:t>
      </w:r>
      <w:r>
        <w:rPr>
          <w:rFonts w:ascii="Tahoma;sans-serif" w:hAnsi="Tahoma;sans-serif"/>
          <w:b w:val="false"/>
          <w:i/>
          <w:color w:val="000000"/>
          <w:sz w:val="20"/>
        </w:rPr>
        <w:t>investors.appian.com</w:t>
      </w:r>
      <w:r>
        <w:rPr>
          <w:color w:val="000000"/>
        </w:rPr>
        <w:t> </w:t>
      </w:r>
      <w:r>
        <w:rPr>
          <w:rFonts w:ascii="Tahoma;sans-serif" w:hAnsi="Tahoma;sans-serif"/>
          <w:b w:val="false"/>
          <w:color w:val="000000"/>
          <w:sz w:val="20"/>
        </w:rPr>
        <w:t>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3670"/>
                <wp:effectExtent l="0" t="0" r="0" b="0"/>
                <wp:wrapNone/>
                <wp:docPr id="11" name="Frame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90"/>
        <w:jc w:val="left"/>
        <w:rPr>
          <w:rFonts w:ascii="Tahoma;sans-serif" w:hAnsi="Tahoma;sans-serif"/>
          <w:b/>
          <w:color w:val="000000"/>
          <w:sz w:val="20"/>
        </w:rPr>
      </w:pPr>
      <w:r>
        <w:rPr>
          <w:rFonts w:ascii="Tahoma;sans-serif" w:hAnsi="Tahoma;sans-serif"/>
          <w:b/>
          <w:color w:val="000000"/>
          <w:sz w:val="20"/>
        </w:rPr>
        <w:t>Forward-Looking Statements</w:t>
      </w:r>
    </w:p>
    <w:p>
      <w:pPr>
        <w:pStyle w:val="TextBody"/>
        <w:bidi w:val="0"/>
        <w:spacing w:before="0" w:after="0"/>
        <w:ind w:left="0" w:right="0" w:hanging="9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or the Securities Act, and Section 21E of the Securities Exchange Act of 1934, as amended, or the Exchange Act. In some cases, forward-looking statements can be identified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 </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Our market opportunity and the expansion of our core software markets in general;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opportunity and competitive impact of AI;</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effects of increased competition as well as innovations by new and existing competitors in our market;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adapt to technological change and effectively enhance, innovate, and scale our platform and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effectively manage or sustain our growth and to achieve profitability;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Potential acquisitions and integration of complementary businesses and technologies;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maintain, or strengthen awareness of, our brand;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Perceived or actual problems with the integrity, reliability, quality, or compatibility of our platform, including unscheduled downtime or outages;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anticipated expansion of the usage of partners to perform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macroeconomic conditions, including rising interest rates and inflation, slower growth or recession, and geopolitical turmoil;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Future revenue, hiring plans, expenses, capital expenditures, capital requirements, and stock performance;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attract and retain qualified employees and key personnel and manage our overall headcount;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expected benefits to our clients and potential clients of our product and service offerings;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The timing of revenue recognition under license and cloud arrangements;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expectation that subscriptions revenue as a percentage of total revenue will continue to increase;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expectation that professional services as a percentage of total revenue will continue to decrease;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backlog of license, maintenance, cloud, and services agreements and the timing of future cash receipts from committed license and cloud arrangements;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expectation that cost of revenue, sales and marketing expenses, research and development expenses, and general and administrative expenses will continue to increase in absolute dollar values;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fluctuation of subscriptions gross margin and professional services gross margin over time;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stay abreast of new or modified laws and regulations that currently apply or become applicable to our business both in the United States and internationally;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collect on the judgment against Pegasystems or the judgment preservation insurance;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maintain, protect, and enhance our intellectual property; and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Costs associated with defending intellectual property infringement and other claims.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3670"/>
                <wp:effectExtent l="0" t="0" r="0" b="0"/>
                <wp:wrapNone/>
                <wp:docPr id="12" name="Frame1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Furthermore, such forward-looking statements speak only as of the date of this report. Except as required by law, we undertake no obligation to update any forward-looking statements to reflect events or circumstances that occur after the date of this report.</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Risk Factors Summary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Class A common stock include, but are not necessarily limited to,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Our recent growth may not be indicative of our future growth and, if we continue to grow, we may not be able to manage our growth effectively.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are unable to sustain our revenue growth rate, we may not achieve or maintain profitability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not be able to scale our business quickly enough to meet our customers’ growing needs, and if we are not able to grow efficiently, our operating results could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dependent on a single product, and the lack of continued market acceptance of our platform could cause our operating results to suffer.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currently face significant competition.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If our security measures are actually or perceived to have been breached, or if unauthorized access to our platform or customer data occurs, our platform may be perceived as not being secure, and customers may reduce the use of or stop using our platform, and we may incur significant liabilities.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derive a material portion of our revenue from a limited number of customers, and the loss of one or more of these customers could materially and adversely impact our business, results of operations, and financial condition.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have experienced losses in the past, and we may not achieve or sustain profitability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AI is a disruptive set of technologies that may affect the markets for our software dramatically and in unpredictable ways.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rely on the performance of highly skilled personnel, including senior management and our engineering, professional services, sales, and technology professionals, and if we are unable to retain or motivate key personnel or hire, retain, and motivate qualified personnel, our business would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do not continue to innovate and provide a platform that is useful to our customers, we may not remain competitive, and our revenue and operating results could suffer.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substantially dependent upon customer renewals, the addition of new customers, and the continued growth of our subscriptions revenue.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Because we generally recognize revenue from cloud subscriptions ratably over the term of the subscription agreement, near term changes in sales may not be reflected immediately in our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not achieve market acceptance of our pre-built solutions, which may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3670"/>
                <wp:effectExtent l="0" t="0" r="0" b="0"/>
                <wp:wrapNone/>
                <wp:docPr id="13" name="Frame1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our platform fails to perform properly or there are defects or disruptions in the rollout of our platform updates or enhancements, our reputation could be adversely affected, our market share could decline, and we could be subject to liability claims.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rely upon Amazon Web Services, or AWS, to operate our cloud offering; any disruption of or interference with our use of AWS would adversely affect our business, results of operations, and financial condition.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growth depends in part on the success of our strategic relationships with third parties.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employ third-party licensed software for use in or with our software, and the inability to maintain these licenses or errors in the software we license could result in increased costs or reduced service levels, which would adversely affect our business.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do not or cannot maintain the compatibility of our platform with third-party applications that our customers use in their businesses, our revenue will decline.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Because we collect and store personal information, domestic and international privacy concerns could result in additional costs and liabilities to us or inhibit sales of our software, and subject us to complex and evolving federal, state, and foreign laws and regulations regarding privacy, data protection, and other related matters.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our platform fails to function in a manner that allows our customers to operate in compliance with regulations and/or industry standards, our revenue and operating results could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Any failure to protect our proprietary technology and intellectual property rights could substantially harm our business and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Portions of our platform utilize open source software, and any failure to comply with the terms of one or more of these open source licenses could negatively affect our business.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use net operating losses to offset future taxable income may be subject to certain limitations.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dual class structure of our common stock and the existing ownership of capital stock by Matt Calkins, our founder and Chief Executive Officer, have the effect of concentrating voting control with Mr. Calkins for the foreseeable future, which will limit the ability of others to influence corporate matters.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Class A common stock.</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stock price has been volatile and may be volatile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3670"/>
                <wp:effectExtent l="0" t="0" r="0" b="0"/>
                <wp:wrapNone/>
                <wp:docPr id="14" name="Frame1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1A. Risk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i/>
          <w:color w:val="000000"/>
          <w:sz w:val="20"/>
        </w:rPr>
        <w:t xml:space="preserve">Our operations and financial results are subject to various risks and uncertainties including those described below and other information contained in this Annual Report on Form 10-K. The risks and uncertainties described below are not the only ones we face. Additional risks and uncertainties we are unaware of, or we currently believe are not material, may also become </w:t>
      </w:r>
      <w:r>
        <w:rPr>
          <w:rFonts w:ascii="Tahoma;sans-serif" w:hAnsi="Tahoma;sans-serif"/>
          <w:b w:val="false"/>
          <w:color w:val="000000"/>
          <w:sz w:val="20"/>
        </w:rPr>
        <w:t>important</w:t>
      </w:r>
      <w:r>
        <w:rPr>
          <w:color w:val="000000"/>
        </w:rPr>
        <w:t xml:space="preserve"> </w:t>
      </w:r>
      <w:r>
        <w:rPr>
          <w:rFonts w:ascii="Tahoma;sans-serif" w:hAnsi="Tahoma;sans-serif"/>
          <w:b w:val="false"/>
          <w:i/>
          <w:color w:val="000000"/>
          <w:sz w:val="20"/>
        </w:rPr>
        <w:t>factors that adversely affect our business. If any of the following risks or others not specified below materialize, our business, financial condition, and results of operations could be materially and adversely affected, and the trading price of our Class A common stock could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Business and Industry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recent growth may not be indicative of our future growth and, if we continue to grow, we may not be able to manage our growth effectively.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focused on scaling our operations and growing our headcount in line with our growth plan and size of our customer base, which we have significantly increased over the last several years. While we have expanded our operations and headcount in prior periods, it is not indicative of our future growth and we may modify our pace of hiring to align with our growth plans. Our growth has placed, and any future growth will place, a significant strain on our management, administrative, operational, and financial infrastructure. Our success will depend in part on our ability to manage this growth effectively and we will need to continue to improve our operational, financial, and management controls and our reporting systems and procedures. Failure to effectively manage our growth could result in difficulty or delays in deploying our platform to customers, declines in quality or customer satisfaction, increases in costs, difficulties in introducing new features, or other operational difficulties. Any of these difficulties could adversely impact our business performance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are unable to sustain our revenue growth rate, we may not achieve or maintain profitability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revenue growth with revenue of $545.4 million, $468.0 million, and $369.3 million in 2023, 2022, and 2021, respectively. Although we have experienced rapid revenue growth historically, we may not continue to grow as rapidly in the future, and our revenue growth rates may decline. Any success we may experience in the future will depend in large part on our ability to, among other things: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color w:val="000000"/>
        </w:rPr>
        <w:t>•</w:t>
      </w:r>
      <w:r>
        <w:rPr>
          <w:rFonts w:ascii="Tahoma;sans-serif" w:hAnsi="Tahoma;sans-serif"/>
          <w:b w:val="false"/>
          <w:color w:val="000000"/>
          <w:sz w:val="20"/>
        </w:rPr>
        <w:t>Maintain and expand our customer base;</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Increase revenue from existing customers through increased or broader use of our platform within their organizations;</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Compete in an AI-accelerated environment;</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Further penetrate the existing industry verticals we serve and expand into other industry verticals; and</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Continue to successfully expand our business domestically and internationally.</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we are unable to maintain consistent revenue or revenue growth, our stock price could be volatile, and it may be difficult to achieve and maintain profitability. Our revenue for any prior quarterly or annual periods should not be relied upon as any indication of our future revenue or revenue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not be able to scale our business quickly enough to meet our customers’ growing needs, and if we are not able to grow efficiently, our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Customers may use our platform for more advanced and frequent projects, resulting in usage growth for our platform. With such growth, we may need to devote additional resources to improving our software architecture, integrating with third-party systems, and maintaining infrastructure performance. In addition, we will need to continue to appropriately scale our internal business operations as well as grow our partner services systems, including our Customer Success organization and operations, to serve our growing customer base, particularly as our customer base expands over time. Any failure of or delay in these efforts could cause impaired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670"/>
                <wp:effectExtent l="0" t="0" r="0" b="0"/>
                <wp:wrapNone/>
                <wp:docPr id="15" name="Frame1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performance and reduced customer satisfaction. These issues could reduce the attractiveness of our platform to customers, resulting in decreased sales to new customers, lower renewal rates by existing customers, the issuance of service credits, or requested refunds, any of which could hurt our revenue growth and our reputation. Even if we are able to upgrade our systems and expand our staff,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the expansion and improvements to our infrastructure and systems will be fully or effectively implemented on a timely basis, if at all. These efforts may reduce revenue and our margins and adversely impact our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dependent on a single product, and the lack of continued market acceptance of our platform could cause our operating results to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Sales of our software platform account for substantially all of our subscriptions revenue and are the source of substantially all of our professional services revenue. We expect we will be substantially dependent on our platform to generate revenue for the foreseeable future. As a result, our operating results or revenue growth rates could suffer due to:</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Any decline or lower than expected growth in demand for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failure of our platform to achieve continued market acceptance;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market for low-code solutions not continuing to grow or growing more slowly than we expect;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introduction of products and technologies (including AI technologies) that serve as a replacement or substitute for, or represent an improvement over,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Technological innovations or new standards that our platform does not address;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Sensitivity to current or future prices offered by us or competing solutions;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inability to further penetrate our existing industry verticals or expand our customer base;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inability to release enhanced versions of our platform on a timely basis.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sales cycle is long and unpredictable, particularly with respect to large customers, and our sales efforts require considerable time and expense, all of which may cause our operating results to fluctuate.</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operating results may fluctuate, in part, because of the resource-intensive nature of our sales efforts, the length and variability of the sales cycle of our platform, and the difficulty we face in adjusting our short-term operating expenses to respond to the fluctuations in the sales cycles. Our operating results depend in part on sales to large customers and promotion of increasing usage by those large customers. The length of our sales cycle, from initial evaluation to delivery of and payment for our software, varies substantially from customer to customer, and it is difficult to predict if or when we will make a sale to a potential customer. We may spend substantial time, effort, and money on our sales and marketing efforts without any assurance our efforts will result in revenue. As a result of these factors, we may face greater costs, longer sales cycles, and less predictability in the future. In the past, certain individual sales have occurred in periods later than we expected or have not occurred at all. The loss or delay of one or more large transactions in a quarter could impact our operating results for that quarter and any future quarters in which such revenue otherwise would have been recognized because a substantial portion of our expenses are relatively fixed in the short-term. As a result of these factors, it is difficult for us to forecast our revenue accurately in any quarter, and our quarterly results may fluctuate substantially.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Market adoption of low-code platforms to drive digital transformation is new and unproven and may not grow as we expect, which may harm our business and prospects.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our future success will depend in large part on growth in the demand for low-code platforms to drive software-enabled digital transformation. It is difficult to predict customer demand for our platform, renewal rates, the rate at which existing customers expand their subscriptions, the size and growth rate of the market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670"/>
                <wp:effectExtent l="0" t="0" r="0" b="0"/>
                <wp:wrapNone/>
                <wp:docPr id="16" name="Frame1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our platform, the entry of competitive products, or the success of existing competitive products. The utilization of low-code software to drive digital transformation is still relatively new. Any expansion in our addressable market depends on a number of factors, including businesses continuing to desire to differentiate themselves through software-enabled digital transformation, increasing their reliance on low-code solutions, changes in the competitive landscape, technological changes, including due to advancements in AI, budgetary constraints of our customers, and changes in economic conditions. If our platform does not achieve widespread adoption or there is a reduction in demand for low-code solutions caused by these factors, it could result in reduced customer purchases, reduced renewal rates, and decreased revenue, any of which will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currently face significant 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markets for low-code platforms, business process management, case management software, and custom software are highly competitive, rapidly evolving, and have relatively low barriers to entry. The principal competitive factors in our market include the following: platform features, reliability, performance, and effectiveness; ease of use and speed; data fabric; utilization of AI; platform extensibility and ability to integrate with other technology infrastructures; deployment flexibility; robustness of professional services and customer support; price and total cost of ownership; strength of platform security and adherence to industry standards and certifications;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Our main competitors fall into three categories: (1) providers of custom software and customer software solutions that address, or are developed to address, some of the use cases that can be addressed by applications developed on our platform; (2) providers of low-code development platforms; and (3) providers of one or more automation technologies, including BPM, case management, process mining, and RPA.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Some of our actual and potential competitors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solutions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including with respect to AI. With the introduction of AI and new market entrants, we expect competition to intensify in the future. In addition, some of our larger competitors have substantially broader offerings and can bundle competing products with other software offerings. As a result, customers may choose a bundled offering from our competitors, even if individual products have more limited functionality than our platform. These larger competitors are also often in a better position to withstand any significant reduction in capital spending and will therefore not be as susceptible to economic downturns.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security measures are actually or perceived to have been breached, or if unauthorized access to our platform or customer data occurs, our platform may be perceived as not being secure, and customers may reduce the use of or stop using our platform, and we may incur significant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platform, which can be deployed in the cloud or on-premises, allows for the storage and transmission of our customers’ proprietary or confidential information, which may include trade secrets, personally identifiable information, personal health information, and payment card information. Any actual or perceived unauthorized access to, or security incidents affecting, our platform or the information stored on or transmitted by our platform, including through unauthorized and/or malicious activity by one of our employees, could result in the loss of information, litigation, regulatory investigations, penalties, indemnity obligations and other costs, expenses, and liabilities, which could exceed our existing insurance coverage and could result in a substantial financial loss. While we have security measures in place designed to protect customer information and prevent data loss and other security breaches, there can be no assurance these measures will be effective in protecting against malicious unauthorized access to our platform or our customers’ information. Similarly, if cyber incidents such as phishing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670"/>
                <wp:effectExtent l="0" t="0" r="0" b="0"/>
                <wp:wrapNone/>
                <wp:docPr id="17" name="Frame1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attacks, viruses, denial of service attacks, supply chain attacks, malware installation, ransomware attacks, server malfunction, software or hardware failures, loss of data or other computer assets, adware, or other similar issues impair the integrity or availability of our systems by affecting our data or reducing access to or shutting down one or more of our computing systems or our IT network, we may be subject to negative treatment by our customers, our business partners, the press, and the public at large. Further, even though we have security measures in place that are tested and verified by third parties, because the techniques used to obtain unauthorized access or sabotage systems change frequently and generally are not identified until they are launched against a target, we may be unable to anticipate these techniques or to implement adequate preventative measures. Additionally, we may be subject to attacks on our networks or systems or attempts to gain unauthorized access to our proprietary or confidential information or other data we or our vendors maintain such as data about our employees. Such attacks and other breaches of security may occur as a result of malicious attacks, human error, social engineering, or other causes. Any of the foregoing risks may be heightened by our use of AI, and the use of AI may enhance the effectiveness of any of the foregoing threat actors or their attempts to gain unauthorized access to our platform or our or our customers’ confidential, proprietary, or personal information. Any actual or perceived breach of our security measures or failure to adequately protect our customers’ or our confidential, proprietary, or personal information could negatively affect our ability to attract new customers, cause existing customers to elect to not renew their subscriptions to our software, or result in reputational damage, any of which could adversely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security compromises experienced by our customers with respect to data hosted on our platform, even if caused by the customer’s own misuse or negligence, may lead to public disclosures, which could harm our reputation, erode customer confidence in the effectiveness of our security measures, negatively impact our ability to attract new customers, or cause existing customers to elect not to renew their subscriptions with us. We may be subjected to indemnity demands, regulatory proceedings, audits, penalties, or litigation based on our customers’ misuse of our platform with respect to such sensitive information and defending against such litigation and otherwise addressing such matters may be expensive, cause distraction, and may result in us incurring liability, all of which may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While we maintain general liability insurance coverage and coverage for errors or omissions, we cannot provide assurance such coverage will be adequate or otherwise protect us from liabilities or damages with respect to claims alleging compromises of personal data or that such coverage will continue to be available on acceptable terms or at all.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derive a material portion of our revenue from a limited number of customers, and the loss of one or more of these customers could materially and adversely impact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 base is concentrated. For example, during the years ended December 31, 2023, 2022, and 2021, revenue from U.S. federal government agencies represented 21.3%, 19.2%, and 19.6% of our total revenue, respectively, and the top three U.S. federal government customers generated 4.2%, 4.5%, and 5.6% of our total revenue for the years ended December 31, 2023, 2022, and 2021, respectively. Further, nearly 12% of our subscription customers spent more than $1 million on our software in 2023. If we were to lose one or more of our significant customers, our revenue would significantly decline. In addition, revenue from significant customers may vary from period to period depending on the timing of renewing existing agreements or entering into new agreements. The loss of one or more of our significant customers could materially and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 portion of our revenue is generated from subscriptions sold to governmental entities and heavily regulated organizations, which are subject to a number of challenges and risks.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 significant portion of our revenue is generated from subscriptions sold to governmental entities, both in the United States and internationally. Additionally, many of our current and prospective customers such as those in the financial services, life sciences, insurance, and healthcare industries are highly regulated and may be required to comply with more stringent regulations in connection with subscribing to and implementing our platform. Selling subscriptions to these entities can be highly competitive, expensive, and time-consuming, often requiring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670"/>
                <wp:effectExtent l="0" t="0" r="0" b="0"/>
                <wp:wrapNone/>
                <wp:docPr id="18" name="Frame1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upfront time and expense without any assurance we will successfully complete a sale. In addition, if our software does not meet the standards of new or existing regulations, we may be in breach of our contracts with our customers, allowing them to terminate their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Governmental demand and payment for our platform may also be impacted by public sector budgetary cycles and funding authorizations, with funding reductions or delays adversely affecting public sector demand for our platform. The United States has previously experienced lapses in federal appropriations, and any such future lapses could negatively affect our business, results of operations, and financial condition. In addition, governmental and highly regulated entities impose compliance requirements that are complicated, make pricing readily available, subject continued business to unpredictable competitive processes, or are otherwise time-consuming and expensive to satisfy. In the United States, applicable federal contracting regulations change frequently, and the President may issue executive orders requiring federal contractors to adhere to new compliance requirements after a contract is signed. If we commit to meeting special standards or requirements and do not meet them, we could be subject to significant liability from our customers or regulators. Even if we do meet these special standards or requirements, the additional costs associated with providing our platform to government and highly regulated customers could harm our operating results. Moreover, changes in the underlying statutory and regulatory conditions that affect these types of customers could compromise our ability to efficiently provide them access to our platform and to grow or maintain our customer base. In addition, engaging in sales activities to foreign governments introduces additional compliance risks specific to the U.S. Foreign Corrupt Practices Act, the U.K. Bribery Act, and other similar statutory requirements prohibiting bribery and corruption in the jurisdictions in which we operate.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have experienced losses in the past, and we may not achieve or sustain profitability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generated net losses of $111.4 million, $150.9 million, and $88.6 million in 2023, 2022, and 2021, respectively. As of December 31, 2023, we had an accumulated deficit of $519.9 million. We will need to generate and sustain increased revenue levels in future periods in order to achieve or sustain profitability in the future. We also expect our costs to increase in future periods, which could negatively affect our future operating results if our revenue does not increase commensurately. For example, we intend to continue to expend significant funds to expand our sales and marketing operations, develop and enhance our platform,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our stock price may significantly decrease.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AI is a disruptive set of technologies that may affect the markets for our software dramatically and in unpredictable ways.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emerging technologies described as AI, which include machine learning, application of large language models, generative AI, machine learning models, and similar means of algorithm self-generation and other AI tools have the ability to affect the market for our software by directing what are now human-orchestrated processes into machine-orchestrated processes. In recent years, AI technologies have been the subject of great interest to our customers and to followers of our markets, and these technologies have been showcased and subject to substantial interest among our customer base. To the extent that we incorporate or will in the future incorporate AI into our software platform, either directly or through integration with AI technologies, we could benefit greatly from the speed and accuracy presented by those technologies, and it could improve our market position relative to our competitors. On the other hand, should we either fail to adopt or integrate with AI technologies that show benefits to our customers, or should AI technologies for code generation or application development reduce the demand for our process automation platform, we could struggle to continue to grow our business or lose business with existing customers to such technologies, and this could negatively impact our business performance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incorporated, and may continue to incorporate, AI in our products and services, and this incorporation of AI in our business and operations may become more significant over time. The use of generative AI, a relatively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3670"/>
                <wp:effectExtent l="0" t="0" r="0" b="0"/>
                <wp:wrapNone/>
                <wp:docPr id="19" name="Frame1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new and emerging technology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 As a result, while generative AI may help provide more tailored or personalized experiences or output, if the content, analyses, or recommendations produced by any of our products or services that use or incorporate generative AI are, or are perceived to be, deficient, inaccurate, biased, unethical or otherwise flawed, our reputation, competitive position and business may be materially and adversely affected. In addition, new laws and regulations, or the interpretation of existing laws and regulations, in any of the jurisdictions we operate in may affect our ability to leverage AI in any of our products and services, and may expose us to government enforcement or civil suits. As the legal and regulatory framework encompassing AI matures, it may result in increases in our operational and development expenses that impact our ability to develop, earn revenue from or utilize any products or services incorporating AI. For more information on the legal and regulatory risks associated with the use of AI, please see our risk factor below at “—Regulatory and legislative developments related to the use of AI could adversely affect our use of such technologies in our products, services, and business.” Additionally, if any of our employees, contractors, vendors or service providers use any third-party software incorporating AI in connection with our business or the services they provide to us, it may lead to the inadvertent disclosure or incorporation of our confidential, sensitive or proprietary information into publicly available training sets which may impact our ability to realize the benefit of, or adequately maintain, protect and enforce our intellectual property or sensitive or confidential information, harming our competitive position and business. Our ability to mitigate risks associated with disclosure of our proprietary, sensitive or confidential information, including in connection with the use of AI, will depend on our implementation, maintenance, monitoring and enforcement of appropriate technical and administrative safeguards, policies and procedures governing the use of AI in our business. Additionally, any output created by us using generative AI may not be subject to copyright protection which may adversely affect our or our customers’ intellectual property rights in, or ability to commercialize or use, any such content. In the U.S., a number of civil lawsuits have been initiated related to the foregoing and other concerns, any one of which may, amongst other things, require us to limit the ways in which our AI tools and technologies are trained, refined or implemented, and may affect our ability to develop products or services using or incorporating AI. While AI-related lawsuits to date have generally focused on certain foundational AI service providers and large language models, our use of any output produced by generative AI may expose us to claims, increasing our risks of liability. For example, the output produced by generative AI may include information subject to certain privacy or rights of publicity laws or constitute an unauthorized derivative work of the copyrighted material used in training the underlying AI model, any of which may create a risk of liability for us, or adversely affect our business or operations. In addition, the use of AI has resulted in, and may in the future result in, cybersecurity incidents that implicate the personal data of users of our AI tools or technologies. To the extent that we do not have sufficient rights to use any data or other material or content produced by generative AI in our business, or if we experience cybersecurity incidents in connection with our use of AI, it could adversely affect our reputation and expose us to legal liability or regulatory risk, including with respect to third-party intellectual property, privacy, publicity, contractual or other rights. Furthermore, our competitors, customers or other third parties may incorporate AI into their products more quickly or more successfully than us, which could impair our ability to compete effectively. If any third-party AI tools are trained using or otherwise leverage any of our proprietary data or data sets, our competitive advantage may be impaired, and our ability to commercialize our own AI tools or such data and data sets may be undermined, damaging our operations and business. The increasing use of generative AI by third parties may also negatively impact the integrity of our own proprietary data, data sets and content databases if and to the extent that any invalid, inaccurate, biased or otherwise flawed data produced by any such AI systems may inadvertently be incorporated in our proprietary data, data sets or content databases, negatively affecting our reputation, and the value of our proprietary data, data sets or content databases. AI also may impact our business in other ways, including with respect to hiring, employee turnover, our environmental footprint, and research and development costs. As generative AI and other AI tools are relatively new, sophisticated and evolving quickly, we cannot predict all of the risks that may arise from our current or future use of AI in our business. Any of the foregoing and any similar issues, whether actual or perceived, could negatively impact our customers’ experience and diminish the perceived quality and value of our products and services. This in turn could damage our brand, reputation, competitive position, and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53670"/>
                <wp:effectExtent l="0" t="0" r="0" b="0"/>
                <wp:wrapNone/>
                <wp:docPr id="20" name="Frame1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the use of AI becomes more prevalent, including in the industries in which we operate, we anticipate that AI will continue to present new or unanticipated ethical, reputational, technical, operational, legal, competitive, and regulatory issues, among others. We expect that our incorporation of AI in our business will require additional resources, including the incurrence of additional costs, to develop and maintain our AI-related products and services,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Regulatory and legislative developments related to the use of AI could adversely affect our use of such technologies in our products, services, and business.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use AI, including machine learning and generative AI, throughout our business. 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the operation of our business, including our data analytics products and services and the way in which we use AI and similar technologies in our business. For example, the European Union’s proposed Artificial Intelligence Act, if enacted in its current form or any similar form, would have a material impact on the way AI is regulated in the EU, including significant fines for violations related to offering prohibited AI systems or data governance, high-risk AI systems and for supplying incorrect, incomplete, or misleading information to EU and member state authorities. We may not be able to adequately anticipate or respond to these evolving laws and regulations, and we may need to expend additional resources to adjust our products or services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future results of operations may fluctuate significantly due to a wide range of factors, which makes our future results difficult to predict.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revenue and results of operations have historically varied from period to period, and we expect they will continue to do so as a result of a number of factors, many of which are outside of our control, including: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The level of demand for our platform and our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rate of renewal of subscriptions with, and extent of sales of additional subscriptions to, existing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Large customers failing to renew their subscriptions;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size, timing, and terms of our subscription agreements with existing and new customers, including revenue recognition issues;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Variations in the revenue mix of our professional services and growth rates of our cloud subscription and professional services offerings, including the timing of subscriptions and sales offerings that include an on-premises software element for which the revenue allocated to that deliverable is recognized upfront;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timing and growth of our business, in particular through our hiring of new employees and international expansion;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timing of our adoption of new or revised accounting pronouncements applicable to public companies and the impact on our results of operations;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introduction of new products and product enhancements by existing competitors or new entrants into our market and changes in pricing for solutions offered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3670"/>
                <wp:effectExtent l="0" t="0" r="0" b="0"/>
                <wp:wrapNone/>
                <wp:docPr id="21" name="Frame1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Network outages, security breaches, technical difficulties, or interruptions with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growth rate of the markets in which we compete;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mix of subscriptions to our platform and professional services sold during a period;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Customers delaying purchasing decisions in anticipation of new developments or enhancements by us or our competitors or otherwise;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customers’ budgets;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Lapses of federal appropriations in the United States for our government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Seasonal variations related to sales and marketing and other activities such as expenses related to our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increase, retain, and incentivize the strategic partners that market and sell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control costs, including our operating expenses;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hire, train, and maintain our direct sales team;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Unforeseen litigation and intellectual property infringement;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Fluctuations in our effective tax rate;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economic and political conditions, both domestically and internationally, as well as economic conditions specifically affecting industries in which our customers operate.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one of these or other factors discussed elsewhere in this Annual Report on Form 10-K or the cumulative effect of some of these factors may result in fluctuations in our revenue and operating results, meaning quarter-to-quarter comparisons of our revenue, results of operations, and cash flows may not necessarily be indicative of our future performance, may cause us to miss our guidance or analyst expectations, and may cause our stock price to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 buying patterns typical in the software industry. Furthermore, we usually enter into a significant portion of agreements with customers during the last month, and often the last two weeks, of each quarter. This seasonality is reflected to a much lesser extent, and sometimes is not immediately apparent, in revenue due to the fact we recognize cloud subscriptions revenue over the term of the subscription agreement, which is generally one to three years. We expect seasonality will continue to affect our operating results in the future and may reduce our ability to predict cash flow and optimize the timing of our operating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fail to meet our publicly announced guidance or other expectations about our business and future operating results, which could cause our stock price to decline.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provided and may continue to provide guidance about our business, future operating results, and other business metrics. In developing this guidance, our management must make certain assumptions and judgments about our future performance. Furthermore, analysts and investors may develop and publish their own projections of our business, which may form a consensus about our future performance. Our business results may vary significantly from such guidance or that consensus due to a number of factors, many of which are outside of our control, including due to the global economic uncertainty and financial market conditions which could adversely affect our operations and operating results. Furthermore, if our publicly announced guidance of future operating results fails to meet our previously announced guidance or the expectations of securities analysts, investors, or other interested parties, the price of our common stock would decline.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We rely on the performance of highly skilled personnel, including senior management and our engineering, professional services, sales, and technology professionals; if we are unable to retain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3670"/>
                <wp:effectExtent l="0" t="0" r="0" b="0"/>
                <wp:wrapNone/>
                <wp:docPr id="22" name="Frame2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i/>
          <w:color w:val="000000"/>
          <w:sz w:val="20"/>
        </w:rPr>
      </w:pPr>
      <w:r>
        <w:rPr>
          <w:rFonts w:ascii="Tahoma;sans-serif" w:hAnsi="Tahoma;sans-serif"/>
          <w:b/>
          <w:i/>
          <w:color w:val="000000"/>
          <w:sz w:val="20"/>
        </w:rPr>
        <w:t>motivate key personnel or hire, retain, and motivate qualified personnel, our business would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our success has depended, and continues to depend, on the efforts and talents of our senior management team, particularly Matt Calkins, our founder and Chief Executive Officer, and our highly skilled team members, including our sales personnel, professional services personnel, cloud engineering and support personnel, and software engineers. We do not maintain key person insurance on any of our executive officers or key employees. From time to time, there have been and may continue to be changes in our senior management team resulting from the termination or departure of our executive officers and key employees. Our senior management and key employees are employed on an at-will basis, which means they could terminate their employment with us at any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Many of our executive officers and key employees receive equity compensation as a significant portion of their overall compensation package. A substantial decrease in the market price of our Class A common stock would effectively reduce the compensation of such persons. The loss of any of our senior management or key employees, particularly Mr. Calkins, could adversely affect our ability to build on the efforts they have undertaken and to execute our business plan, and we may not be able to find adequate replacements. We cannot ensure we will be able to retain the services of any members of our senior management or other key employees.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ability to successfully pursue our growth strategy also depends on our ability to attract, motivate, and retain our personnel. Competition for highly-qualified employees in all aspects of our business, including sales personnel, professional services personnel, cloud engineering and support personnel, and software engineers, is intense. As a result of the COVID-19 pandemic, many more employers allowed remote work, which resulted in the market for employee talent becoming more national and some employees preferring remote work. As we have chosen to return to office-based work over time to benefit from the better culture and productivity we believe in-office work affords, we may not be able to attract and retain employees who would choose to work remotely, while we also still face hiring competition from companies with remote-based workforces who can hire without respect to office location. Our continued ability to compete effectively depends on our ability to attract new employees and to retain and motivate existing employees.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do not continue to innovate and provide a platform that is useful to our customers, we may not remain competitive, and our revenue and operating results could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depends on continued innovation to provide features that make our platform useful for our customers, including with respect to developments in AI, our ability to persuade existing customers to expand their use of our platform to additional use cases and additional applications, and to purchase additional software licenses to our platform. We must continue to invest significant resources in research and development in order to continually improve the speed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customers, we may be unable to attract additional customers or retain our current customers, which may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need to reduce or change our pricing model to remain competitive.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market for our platform is still evolving, and competitive dynamics may cause pricing levels to change as the market matures and as existing and new market participants introduce new types of solutions and different approaches to enable customers to address their needs. As a result, we may be forced to reduce the prices we charge for software and may be required to offer terms less favorable to us for new and renewing agreements. We generally sell our software on a per-user basis or through non-user-based single application licenses. We have changed and expect we will continue to need to change our pricing model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As a result, we may be required or choose to reduce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3670"/>
                <wp:effectExtent l="0" t="0" r="0" b="0"/>
                <wp:wrapNone/>
                <wp:docPr id="23" name="Frame2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prices or change our pricing model, which could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business could be adversely affected if our customers are not satisfied with the deployment services provided by us or our partners.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success of our business depends on our customers’ satisfaction with our platform, the support we provide for our platform, and the professional services we provide to help our customers deploy our platform. Professional services may be performed by our own staff, a third party, or a combination of the two. Our strategy is to work with third parties to increase the breadth, capability, and depth of capacity for delivery of these services to our customers, and third parties provide a significant portion of our deployment services. If a customer is not satisfied with the quality of work performed by us or a third party or with the type of applications delivered, we could incur additional costs to address the deficiency, which would diminish the profitability of the customer relationship. Further, a customer’s dissatisfaction with our services could impair our ability to expand the number of licenses to our software purchased by that customer or adversely affect the customer’s renewal of existing licenses. In addition, negative publicity related to our customer relationships, regardless of accuracy, may further damage our business by affecting our ability to compete for new business with actual and prospective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substantially dependent upon customer renewals, the addition of new customers, and the continued growth of our subscriptions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derive, and expect to increasingly derive in the future, a substantial portion of our revenue from the sale of software subscriptions. For 2023, 2022, and 2021, approximately 75.6%, 72.7%, and 71.4%, respectively, of our total revenue was subscriptions revenue. In order for us to improve our operating results, it is important our customers renew their subscriptions with us when their initial term expires, as well as purchase additional subscriptions from us. In general, our customers have no renewal obligation after their initial term expires, and we cannot provide assurance we will be able to renew subscriptions with any of our customers at the same or higher contract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while we offer access to our platform primarily through multi-year subscription agreements, some agreements may have shorter durations. Additionally, some of our contracts limit the amount we can increase prices from period to period or include pricing guarantees. If our customers do not renew their agreements, terminate their agreements, renew their agreements on terms less favorable to us, or fail to purchase additional software subscriptions, our revenue may decline and our operating results would likely be harmed as a result.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we generally recognize revenue from cloud subscriptions ratably over the term of the subscription agreement, near term changes in sales may not be reflected immediately in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offer our solution primarily through multi-year cloud subscription agreements and generally recognize revenue ratably over the related subscription period. As a result, much of the revenue we report in each quarter is derived from the recognition of previously unbilled or deferred contract value relating to agreements entered into during prior periods. Accordingly, a decline in new or renewal subscription agreements in any quarter is not likely to be reflected immediately in our revenue results for that quarter. Such declines, however, would negatively affect our revenue, and to a lesser extent, deferred revenue balance in future periods, and the effect of significant downturns in sales and market acceptance of our platform and potential changes in our rate of renewals may not be fully reflected in our results of operations until future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not achieve market acceptance of our pre-built solutions, which may adversely impact our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been developing and releasing pre-built solutions on our software platform in order to maximize the value of our platform to our customers and to reduce the sales cycles associated with software sales to new and existing customers. Each solution requires an investment in development, marketing, sales, support, finance, and legal resources to bring the solution to market. Although we make efforts to identify the solutions that will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3670"/>
                <wp:effectExtent l="0" t="0" r="0" b="0"/>
                <wp:wrapNone/>
                <wp:docPr id="24" name="Frame2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favorable market acceptance, there can be no guarantee any solution will become the source of material revenue, and the investment in the solution may not produce a positive return. If unsuccessful, such solutions may adversely impact our financial results to the extent our expenses increase without any increase in sales or to the extent attempted sales of such solutions reduce sales of our existing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are not able to maintain and enhance our brand, our business and operating results may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developing and maintaining widespread awareness of our brand in a cost-effective manner is critical to achieving widespread acceptance of our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critical for broad customer adoption of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platform fails to perform properly or there are defects or disruptions in the rollout of our platform updates or enhancements, our reputation could be adversely affected, our market share could decline, and we could be subject to liability claims.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platform is inherently complex and may contain material defects or errors. Any defects in functionality, security, or other conditions that cause interruptions in the availability of our platform could result in:</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Loss or delayed market acceptance and sales;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Breach of warranty claims;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Sales credits or refunds for prepaid amounts related to unused subscription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Loss of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Diversion of development and support resources; and/or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Injury to our reputation.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costs incurred in correcting any material defects or errors might be substantial and could adversely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 agreements often provide service level commitments on a monthly basis. If we are unable to meet the stated service level commitments or suffer extended periods of unavailability for our platform, we may be contractually obligated to provide these customers with service credits or refunds for prepaid amounts, or we could face contract terminations. Our revenue could be significantly affected if we suffer unscheduled downtime that exceeds the allowed downtimes under our agreements with our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Because of the large amount of data we collect and manage, it is possible hardware failures or errors in our systems could result in data loss or corruption or cause the information we collect to be incomplete or contain inaccuracies our customers regard as significant. Furthermore, the availability or performance of our platform could be adversely affected by a number of factors, including customers’ inability to access the internet, our customers’ increased usage of our cloud offering, the failure of our network or software systems, security breaches, or variability in user traffic for our services. For example, our cloud offering customers access our platform through their internet service providers. If a customer's service provider fails to provide sufficient capacity to support our platform or otherwise experiences service outages, such failure could interrupt our customers’ access to our platform, adversely affect their perception of our platform’s reliability, and reduce our revenue. In addition to potential liability, if we experience interruptions in the availability of our cloud offering, our reputation could be adversely affected, and we could lose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also provide frequent incremental releases of software updates and functional enhancements to our platform. Despite extensive pre-release testing, such new versions occasionally contain undetected errors when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3670"/>
                <wp:effectExtent l="0" t="0" r="0" b="0"/>
                <wp:wrapNone/>
                <wp:docPr id="25" name="Frame2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introduced or released. We have, from time to time, found errors in our software, and new errors in our existing software may be detected in the future. Since our customers use our software for important aspects of their business, any errors, defects, disruptions in our platform, or other performance problems with our solution could hurt our reputation and may damage our customers’ businesses. If that occurs, our customers may delay or withhold payment to us, elect not to renew, or make service credit claims, warranty claims, or other claims against us, and we could lose future sales. The occurrence of any of these events could result in an increase in our bad debt expense, an increase in collection cycles for accounts receivable, decreased future revenue and earnings, require us to increase our warranty provisions, or incur the risk or expense of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rely upon AWS to operate our cloud offering; any disruption of or interference with our use of AWS would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outsource substantially all of the infrastructure relating to our cloud offering to AWS, which hosts our platform on our customers’ behalf. Customers of our cloud offering need to be able to access our platform at any time, without interruption or degradation of performance, and we provide them with service level commitments with respect to uptime. AWS runs its own platform we access, and we are, therefore, vulnerable to service interruptions at AWS. We may experience material interruptions, delays, and outages in service and availability from time to time as a result of problems with our AWS provided infrastructure, which could render our cloud offering inaccessible to customers. Additionally, AWS has suffered outages at specific customer locations in the past, rendering the customer unable to access our offering for periods of time. Lack of availability of our AWS infrastructure could be due to a number of potential causes including technical failures, natural disasters, fraud, or security attacks we cannot predict or prevent. Such outages could lead to the triggering of our service level agreements and the issuance of credits to our cloud offering customers, which may impact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if the security of the AWS infrastructure is compromised or believed to have been compromised, our business, results of operations, and financial condition could be adversely affected. It is possible our customers and potential customers would hold us accountable for any breach of security affecting the AWS infrastructure, and we may incur significant liability from those customers and from third parties with respect to any breach affecting AWS systems. Because our agreement with AWS limits AWS’s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agreement with AWS allows AWS to terminate the agreement by providing two years' prior written notice and may allow AWS to terminate in case of a breach of contract if such breach is uncured for 30 days or to terminate upon 30 days’ advance written notice if AWS’s further provision of services to us becomes impractical for legal or regulatory reasons. Although we expect we could receive similar services from other third parties if any of our arrangements with AWS are terminated, we could experience interruptions on our platform and in our ability to make our platform available to customers, as well as delays and additional expenses in arranging alternative cloud infrastructure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growth depends in part on the success of our strategic relationships with third parties.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order to grow our business, we anticipate we will continue to depend on relationships with strategic partners to provide broader customer coverage and solution delivery capabilities. Identifying partners, and negotiating and documenting relationships with them, requires significant time and resources. Our agreements with our strategic partners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platform,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platform by potential customers.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3670"/>
                <wp:effectExtent l="0" t="0" r="0" b="0"/>
                <wp:wrapNone/>
                <wp:docPr id="26" name="Frame2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we are unsuccessful in establishing or maintaining our relationships with third parties, our ability to compete in the marketplace or to grow our revenue could be impaired and our operating results may suffer. Even if we are successful, we cannot be sure these relationships will result in increased customer usage of our platform or increased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 component of our growth strategy involves the further expansion of our operations and customer base internationally. In 2023, 2022, and 2021, revenue generated from customers outside the United States was 35.8%, 33.5%, and 34.0%, respectively, of our total revenue. We currently operate in Canada, Switzerland, the United Kingdom, France, Germany, the Netherlands, Italy, Australia, Spain, Singapore, Sweden, Japan, Mexico, India, and Portugal. In the future, we may expand to other international locations. Our current international operations and future initiatives will involve a variety of risks, including: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Changes in a specific country’s or region’s political or economic conditions;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Unexpected changes in regulatory requirements, taxes, or trade laws;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More stringent regulations relating to data security and the unauthorized use of, or access to, commercial and personal information, particularly in the European Union;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Increased travel, real estate, infrastructure, and legal compliance costs associated with international operations;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Laws and business practices favoring local competitors or general preferences for local vendors;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Limited or insufficient levels of protection of our corporate proprietary information and assets, including intellectual property and customer information and records;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Political instability or terrorist activities;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Exposure to liabilities under anti-corruption and anti-money laundering laws, including the U.S. Foreign Corrupt Practices Act and similar laws and regulations in other jurisdictions;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Adverse tax burdens and foreign exchange controls that could make it difficult to repatriate earnings and cash.</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limited experience in operating our business internationally increases the risk any potential future expansion efforts we may undertake will not be successful. If we invest substantial time and resources to expand our international operations and are unable to do so successfully and in a timely manner, our business and operating results will suffer.</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3670"/>
                <wp:effectExtent l="0" t="0" r="0" b="0"/>
                <wp:wrapNone/>
                <wp:docPr id="27" name="Frame2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require additional capital to support business growth, and this capital might not be available on acceptable terms, if at all.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have obtained a substantial judgment against our competitor, Pegasystems, for willful and malicious trade secret misappropriation, and elements of our ability to obtain payment with respect to that judgment are subject to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May 9, 2022, a jury returned a verdict that Pegasystems, Inc., willfully and maliciously misappropriated trade secrets from us and awarded us $2.036 billion in damages for Pegasystems’ unjust enrichment for usage of our trade secrets. A judge entered a final judgment on that verdict on September 15, 2022 and further granted us $23.6 million in attorney’s fees as well as statutory post-judgment interest at an annual rate of 6%, or approximately $122.0 million per year. Pegasystems has appealed the final judgment to the Virginia Court of Appeals, and the appeal is pending. In September 2023, we obtained a judgment preservation insurance policy that would pay us up to $500.0 million in coverage to the extent the final judgment were reversed or reduced after all appeals and further litigation are exhausted. While we believe strongly the final judgment should be upheld, we cannot guarantee it will be upheld in its entirety or in part. In addition, while Pegasystems has made public assurances that it could raise the funds necessary to pay the judgment, it does not currently have the cash necessary to satisfy the full amount of the final judgment, and we would be at risk of having to collect a substantial judgment as a creditor if Pegasystems is unable to raise the necessary funds when and if the final judgment becomes enforceable. Finally, as with any insurance policy, our ability to collect judgment preservation insurance proceeds is subject to the financial soundness of the insurers underwriting our policy, as well as any denial of coverage under the policy. While we have not included any payment from Pegasystems or insurance proceeds in our financial statements or operational planning, any failure to collect on all or a portion of the judgment or the insurance proceeds may be viewed negatively and our stock price could decline.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maintain cash deposits in excess of federally insured limits. Adverse developments affecting financial institutions, including bank failures, could adversely affect our liquidity and financial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regularly maintain domestic cash deposits in banks insured by the Federal Deposit Insurance Corporation (the “FDIC”)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(“SVB”) was closed by the California Department of Financial Protection and Innovation, and the FDIC was appointed receiver of SVB. If other banks and financial institutions enter receivership or become insolvent in the future due to financial conditions affecting the banking system and financial markets, our ability to access our cash, cash equivalents, and investments, including transferring funds, making payments, or receiving funds may be threatened and could have a material adverse effect on our business and financial condition. There can be no assurance our deposits in excess of the FDIC or other comparable insurance limits will be backstopped by the U.S.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Pursuant to the terms of our outstanding indebtedness, we may be limited in our ability to incur future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3670"/>
                <wp:effectExtent l="0" t="0" r="0" b="0"/>
                <wp:wrapNone/>
                <wp:docPr id="28" name="Frame2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Senior Secured Credit Facilities Credit Agreement (as amended from time to time, the “Credit Agreement”) with the several banks and other financial institutions or entities from time to time parties to the Credit Agreement, as lenders, and First Citizen Bank &amp; Trust Company, as administrative agent and collateral agent for the lenders, which as of December 31, 2023, provides for a five-year term loan facility in an aggregate principal amount of $150.0 million and up to $75.0 million for a revolving credit facility, including a letter of credit sub-facility in the aggregate availability amount of $15.0 million and a swingline sub-facility in the aggregate availability amount of $10.0 million (as a sublimit of the revolving loan facility). Our obligations under the Credit Agreement are secured by substantially all of our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terms of the Credit Agreement, we are limited in our ability to incur additional indebtedness other than on the terms and conditions thereof. In addition, a failure to comply with the covenants under the Credit Agreement could result in an event of default by us and an acceleration of amounts due. If an event of default occurs that is not waived by the lenders, and the lenders accelerate any amounts due, we may not be able to make accelerated payments, and the lender could seek to enforce their security interests in the collateral securing such indebtedness, which could have a material adverse effect on our business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currency exchange rates fluctuate substantially in the future, our financial results, which are reported in U.S. dollars,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Generally, contracts executed by our foreign operations are denominated in the currency of that country or region and a portion of our revenue is therefore subject to foreign currency risks. As we continue to expand our international operations, we become more exposed to the effects of fluctuations in currency exchange rates. A strengthening of the U.S. dollar could reduce the dollar value of revenue generated by our customers outside of the United States, adversely affecting our business operations and financial results. We incur expenses for employee compensation and other operating expenses at our non-U.S. locations in the local currency, and fluctuations in the exchange rates between the U.S. dollar and other currencies could result in the dollar equivalent of such expenses being higher. This could have a negative impact on our reported operating results. To date, we have not engaged in any hedging strategies, and any such strategies such as forward contracts, options, and foreign exchange swaps related to transaction exposures we may implement to mitigate this risk may not eliminate our exposure to foreign exchange fluctuations.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employ third-party licensed software for use in or with our software, and the inability to maintain these licenses or errors in the software we license could result in increased costs or reduced service levels, which would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software incorporates certain third-party software obtained under licenses from other companies, including database software from Kx Systems. We anticipate we will continue to rely on such third-party software and development tools from third parties in the future. Although we believe there are commercially reasonable alternatives to the third-party software we currently license, including open source software, this may not always be the case, or it may be difficult or costly to migrate to other third-party software. Our use of additional or alternative third-party software would require us to enter into license agreements with third parties. In addition, integration of the third-party software used in our software with new third-party software may require significant work and require substantial investment of our time and resources. Also, any undetected errors or defects in third-party software could prevent the deployment or impair the functionality of our software, delay new updates or enhancements to our platform, or result in a failure of our platform, injuring our reputation.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do not or cannot maintain the compatibility of our platform with third-party applications that our customers use in their businesses, our revenue will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functionality and attractiveness of our platform depends, in part, on our ability to integrate our platform with third-party applications and platforms, including customer relationship management, human resources information, accounting, and enterprise resource planning systems our customers use and from which they obtain data. Third-party providers of applications and application programming interfaces, or APIs, may change the features of their applications and platforms, restrict our access to their applications and platforms, or alter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3670"/>
                <wp:effectExtent l="0" t="0" r="0" b="0"/>
                <wp:wrapNone/>
                <wp:docPr id="29" name="Frame2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software with new third-party applications and platforms our customers use, we may not be able to offer the functionality our customers need, which would negatively impact our ability to generate revenue and adversely impact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Catastrophic events may disrupt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corporate headquarters are located in northern Virginia. The area around Washington, D.C. could be subjected to domestic or foreign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outbreak of regional or global pandemic diseases,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i/>
          <w:color w:val="000000"/>
          <w:sz w:val="20"/>
        </w:rPr>
        <w:t>Adverse economic conditions abroad may negatively impact our business.</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depends on the overall demand for enterprise software and on the economic health of our current and prospective customers. The economies of countries in Europe have experienced weakness from time to time in the recent past and may experience weakness in the future. We have operations in the United Kingdom and in Europe and current and potential new customers in Europe. If economic conditions in Europe and other key markets for our platform weaken or deteriorate, many customers may delay or reduce their information technology spending. This could result in reductions in sales of our platform, a decrease in our renewal rate, longer sales cycles, reductions in subscription duration and value, slower adoption of new technologies, and increased price competition. Any of these events would likely have an adverse effect on our business, operating results, and financial position.</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Future acquisitions could disrupt our business and adversely affect our business operations and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the past we have chosen and may continue to choose, to expand by acquiring businesses or technologies. Our ability as an organization to successfully acquire and integrate technologies or businesses is unproven. Acquisitions involve many risks, including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encounter difficulties or unforeseen expenditures in integrating the business, technologies, products, personnel, or operations of any company we acquire, particularly if key personnel of the acquired company decide not to work for us;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disrupt our ongoing business, divert resources, increase our expenses, and distract our management;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result in a delay or reduction of customer purchases for both us and the company acquired due to customer uncertainty about continuity and effectiveness of service from either company;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encounter difficulties in successfully selling, or may be unable to successfully sell, any acquired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3670"/>
                <wp:effectExtent l="0" t="0" r="0" b="0"/>
                <wp:wrapNone/>
                <wp:docPr id="30" name="Frame2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involve the entry into geographic or business markets in which we have little or no prior experience or where competitors have stronger market positions;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use of cash to pay for an acquisition would limit other potential uses for our cash;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incur debt to fund such acquisition, such debt may subject us to material restrictions on our ability to conduct our business as well as financial maintenance covenants.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we negotiate. Any unforeseen liability greater than these warranty and indemnity limitations could have a negative impact on our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Regulatory Compliance and Governmental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Failure to comply with governmental laws and regulations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is subject to regulation by various federal, state, local, and foreign governments.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injunctions, or other collateral consequences. If any governmental sanctions are imposed or if we do not prevail in any possible civil or criminal litigation, our business, results of operations,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reputation,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we collect and store personal information, domestic and international privacy and security concerns could result in additional costs and liabilities to us, inhibit sales of our software, and subject us to complex and evolving federal, state, and foreign laws and regulations regarding privacy, data protection, and other related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Personal privacy has become a significant issue in the United States and in many other countries where we offer our software for sale. The regulatory framework for privacy issues worldwide is rapidly evolving and is likely to remain uncertain for the foreseeable future. An increasing number of countries and U.S. states have enacted comprehensive privacy laws, and many are considering adopting additional laws, rules, regulations, and industry standards regarding the collection, use, storage, or other processing of data. Interpretation of these laws, rules, and regulations and their application to our software and professional services, as well as to our corporate and marketing activities in the United States and foreign jurisdictions, is ongoing and cannot be fully determined at this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the United States, these include rules and regulations promulgated under the authority of the Federal Trade Commission, the Electronic Communications Privacy Act, the Computer Fraud and Abuse Act, the Health Insurance Portability and Accountability Act of 1996, the Gramm Leach Bliley Act, the California Consumer Privacy Act (as modified by the California Privacy Rights Act), or the CCPA, and other state laws relating to privacy and data security. The CCPA contains detailed requirements regarding collecting and processing personal information, imposes certain limitations on how such information may be used, and provides rights to consumers that have never before been available, all of which may be imposed on us by our customers. Further, the CCPA expands consumers’ rights with respect to certain sensitive personal information. Some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New legislation proposed or enacted in various other states will continue to shape the data privacy environment nationally.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3670"/>
                <wp:effectExtent l="0" t="0" r="0" b="0"/>
                <wp:wrapNone/>
                <wp:docPr id="31" name="Frame2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Internationally, the European Union has adopted a comprehensive and evolving general data protection regulation, or the GDPR, which contains numerous requirements related to rights of data subjects in their personal data, including more robust obligations on data processors and heavier documentation requirements for data protection compliance programs by companies in general. In addition, absent appropriate safeguards or other circumstances, the GDPR generally restricts the transfer of personal data to non-adequate countries and/or organizations outside of the European Economic Area, or EEA, such as India, Australia, and non-certified organizations in the United States, which the European Commission does not consider to provide an adequate level of data privacy and security. In July 2023, the new EU-US Data Privacy Framework (“EU-US DPF”), the replacement for the invalidated EU-US Privacy Shield, came into force, allowing U.S. businesses to become certified as adequate for the purposes of data transfers from the EEA, no longer always necessitating the signature of “Standard Contractual Clauses.” The EU-US DPF, however, still requires parties relying upon that legal mechanism to comply with obligations similar to those required under the Standard Contractual Clauses such as conducting transfer impact assessments to determine whether additional security measures are necessary to protect the at-issue personal data. Appian is currently certified under the new EU-US Data Privacy Framework. However, due to potential legal challenges, there exists some uncertainty regarding whether the new EU-US DPF or the Standard Contractual Clauses will remain a valid mechanism for transfers of personal data out of the EEA.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Additionally, new EU legislation which came into force in 2023 such as the Digital Services Act (impacting online advertising), the Digital Markets Act (impacting those providing core platform services), the Data Governance Act (impacting public sector data), and the NIS2 Directive (cybersecurity) impact our own activities, those of our regulated and public sector customers, and those of our significant partners such as AWS.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While the U.K., following Brexit, is currently considered to hold adequacy for the purposes of data transfers from the EEA, proposed changes to U.K. privacy legislation may impact the U.K.’s adequacy standing. The UK’s Data Protection Act of 2018 as supplemented by the GDPR and as implemented into UK law (collectively, “UK GDPR”) imposes similar, stringent data protection requirements to the GDPR.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Virtually every jurisdiction or regulated industry in which we operate has established its own data security and privacy legal framework with which we or our customers must comply. Since we operate across a variety of industries, we may be hosting or otherwise processing substantial amounts of sensitive or otherwise regulated personal information such as identifiable health information. The effects of any of this legislation and future changes to interpretations of this legislation could be potentially far-reaching and will require us to modify our data management practices and to incur substantial expense in an effort to comply.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to government regulation, privacy advocates and industry groups may propose new and different self-regulatory standards that may apply to us. Because the interpretation and application of privacy and data protection laws are still uncertain, it is possible these laws and other actual or alleged legal obligations such as contractual or self-regulatory obligations may be interpreted and applied in a manner inconsistent with our existing data management practices or the features of our platform. If so, in addition to the possibility of fines, lawsuits, and other claims, we could be required to fundamentally change our business activities and practices or modify our software, which could have an adverse effect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inability to adequately address privacy or cybersecurity concerns, even if unfounded, or comply with applicable privacy or data protection laws, regulations, and policies could result in additional cost and liability to us, damage our reputation, inhibit sales, and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the costs of compliance with, and other burdens imposed by, the laws, regulations, and policies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3670"/>
                <wp:effectExtent l="0" t="0" r="0" b="0"/>
                <wp:wrapNone/>
                <wp:docPr id="32" name="Frame3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platform fails to function in a manner allowing our customers to operate in compliance with regulations and/or industry standards, our revenue and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Certain of our customers use our platform to create applications that ensure secure communications given the nature of the content being distributed and associated applicable regulatory requirements. As attitudes towards privacy and data security evolve governmental and other customers may also require our platform to comply with certain privacy, security, and other certifications and standards that are specialized or industry-specific. Our cloud platform holds various security certifications from government agencies and industry organizations, including the Federal Risk and Authorization Management Program, or FedRAMP, compliance and HITRUST certification. It also meets the ISO 27001, Payment Card Industry Data Security Standard, or PCI DSS, and the various United States Health Insurance Portability and Accountability Act, or HIPAA, standards. Governments and industry organizations may also adopt new laws, regulations, or requirements or make changes to existing laws or regulations that could impact the demand for, or value of, our applications such as the European Banking Authority's regulations updated in September 2019 and the CCPA that took effect January 1, 2020. If we fail to maintain our current security certifications and/or to continue to meet security standards, or if we are unable to adapt our platform to changing legal and regulatory standards or other requirements in a timely manner, our customers may lose confidence in our platform, and our business could be negatively impacted.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Changes in laws and regulations related to the internet or changes in the internet infrastructure itself may diminish the demand for our platform and could have a negative impact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future success of our business, and particularly our cloud offering,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platform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viruses, worms, and similar malicious programs, along with distributed denial of service (“DDoS”), and similar attacks. As a result, the internet has experienced a variety of outages and other delays as a result of such damage to or attacks on portions of its infrastructure. If the use of the internet is adversely affected by these issues, demand for our platform could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subject to anti-corruption laws with respect to our domestic and international operations, and non-compliance with such laws can subject us to criminal and/or civil liability and materially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subject to the U.S. Foreign Corrupt Practices Act of 1977, as amended, or the FCPA, the U.S. domestic bribery statute contained in 18 U.S.C. § 201, the U.S. Travel Act, the United Kingdom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can be held liable for the corrupt or other illegal activities of these third-party representatives, our employees, contractors, and other agents, even if we do not explicitly authorize such activities. In addition, although we have implemented policies and procedures to ensure compliance with anti-corruption laws, there can be no assurance all of our employees, representatives, contractors, or agents will comply with these laws at all times.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3670"/>
                <wp:effectExtent l="0" t="0" r="0" b="0"/>
                <wp:wrapNone/>
                <wp:docPr id="33" name="Frame3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United States and other countries maintain and administer export and import laws and regulations, including various economic and trade sanctions such as those administered by the Office of Foreign Assets Control (“OFAC”), which apply to our business.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Changes in our platform, or changes in applicable export or import laws and regulations, may create delays in the introduction and sale of our platform in international markets or, in some cases, prevent the export or import of our platform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platform or in our decreased ability to export or sell our platform to existing or potential customers. Any decreased use of our services or limitation on our ability to export or sell our services would likely adversely affect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incorporate encryption technology into certain of our products. Encryption products may be exported outside of the United States only with the required export authorization, including by license, license exception, or other appropriate government authorization. Obtaining the necessary export license or other authorization for a particular sale may be time-consuming and may result in the delay or loss of sales opportunities.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Although we take precautions to prevent our products from being provided in violation of such laws, our products may have been in the past, and could in the future, be provided inadvertently in violation of such laws, despite the precautions we take. Governmental regulation of encryption technology and regulation of imports or exports, or our failure to obtain required import or export approval for our products, could harm our international sales and adversely affect our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Moreover, U.S. export control laws and economic sanctions programs prohibit the provision of services to countries, governments, and persons subject to U.S. economic embargoes and trade sanctions. Even though we take precautions to prevent our platform from being used by U.S. sanctions targets, our platform could be used by a sanctioned person or in an embargoed country despite such precautions. Any such shipment could have negative consequences, including government investigations, penalties, and reputational harm.</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3670"/>
                <wp:effectExtent l="0" t="0" r="0" b="0"/>
                <wp:wrapNone/>
                <wp:docPr id="34" name="Frame3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Intellectual Property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Any failure to protect our proprietary technology and intellectual property rights could substantially harm our business and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we had 16 issued patents and nine pending patent applications related to our platform and its technology. We have registered the “Appian” name and logo in the United States and certain other countries. We have registrations and/or pending applications for additional marks in the United States. We cannot provide assurance that any current or future applications for registrations for patent or trademark applications will result in the grant of any valid, enforceable intellectual property rights. Further, we cannot provide assurance that any granted patent or trademark will provide the protection we seek, will be valid if challenged, or will be sufficiently broad in actions against alleged infringers. Moreover, any of our granted intellectual property rights may be rendered invalid by future changes in the law, defects in our prosecution processes, or preexisting technology, rights, or marks.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the contractual provisions we enter into may not prevent unauthorized use or disclosure of our proprietary technology or intellectual property rights and may not provide an adequate remedy in the event of any such unauthorized use or disclosure.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we expand our activities outside of the United States, our exposure to unauthorized copying and use of our platform and proprietary information may increase. We may be unable to determine the extent of any unauthorized use or infringement of our platform, technologies, or intellectual property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There can be no assurance the steps we take will be adequate to protect our proprietary technology and intellectual property, that others will not develop or patent similar or superior technologies, products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order to protect our intellectual property rights, we may be required to spend significant resources to monitor and protect these rights. Litigation brought to protect and enforce our intellectual property rights has been and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impact our business.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3670"/>
                <wp:effectExtent l="0" t="0" r="0" b="0"/>
                <wp:wrapNone/>
                <wp:docPr id="35" name="Frame3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be subject to intellectual property rights claims by third parties, which are extremely costly to defend, could require us to pay significant damages, and could limit our ability to use certain technologies.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may in the future be subject to claims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also generally grant our customers ownership of any custom applications we develop for them, subject to our continued ownership of our pre-existing intellectual property rights and, in the past, a customer for whom we have developed custom applications has incorrectly alleged applications we have independently developed infringed the customer’s intellectual property rights. In addition, we have in the past, and may in the future, be subject to claims that our employees, contractors, or we ourselves have inadvertently or otherwise used or disclosed trade secrets or other proprietary information of our competitors or other parties. To the extent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may be third-party intellectual property rights, including issued or pending patents that cover significant aspects of our technologies or business methods. Any intellectual property claims, with or without merit, could be very time-consuming, expensive to settle or litigate, divert our management’s attention and other resources, and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Moreover, to the extent we only have a license to any intellectual property used in our platform,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Further, our use of AI technologies internally and implemented as part of our platform may expose us to additional risks regarding our intellectual property. For more information on the legal and regulatory risks associated with the use of AI, please see our risk factors above at “—AI is a disruptive set of technologies that may affect the markets for our software dramatically and in unpredictable ways,” and “—Regulatory and legislative developments related to the use of AI could adversely affect our use of such technologies in our products, services, and business.”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Portions of our platform utilize open source software, and any failure to comply with the terms of one or more of these open source licenses could negatively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software contains software licensed to us by third parties under so-called “open source” licenses, including the GNU Lesser General Public License, the BSD License, and others. From time to time, there have been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3670"/>
                <wp:effectExtent l="0" t="0" r="0" b="0"/>
                <wp:wrapNone/>
                <wp:docPr id="36" name="Frame3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against companies that distribute or use open source software in their products and services, asserting such open source software infringes the claimants’ intellectual property rights. We could be subject to suits by parties claiming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source code for software programs subject to the license be made available to the public and that any modifications or derivative works to such open source software continue to be licensed under the same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these licenses could be construed in a way that could impose unanticipated conditions or restrictions on our ability to commercialize our platform. By the terms of certain open source licenses, we could be required to release the source code of our software and to make our software available under open source licenses, if we combine or distribute our software with open source software in a certain manner. In the event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platform. Many of the risks associated with usage of open source software cannot be eliminated and could negatively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Tax and Accounting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estimates or judgments relating to our critical accounting estimates prove to be incorrect, our results of operations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We base our estimates on historical experience and on various other assumptions we believe to be reasonable under the circumstances, as provided in Part II, Item 7, “Management’s Discussion and Analysis of Financial Condition and Results of Operations” of this Annual Report on Form 10-K. The results of these estimates form the basis for making judgments about the amount of revenue. Significant assumptions and estimates used in preparing our consolidated financial statements include those related to revenue recognition. Our results of operations may be adversely affected if our assumptions change or if actual circumstances differ from those in our assumptions in our critical accounting policies,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operating results may be negatively affected by additional tax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currently collect and remit sales and use, value added, and other transaction taxes in certain of the jurisdictions where we do business based on our assessment of whether tax is owed by us in such jurisdictions. However, in some jurisdictions in which we do business, we do not believe we owe such taxes, and therefore we currently do not collect and remit such taxes or record contingent tax liabilities in those jurisdictions. 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platform, or the imposition of new laws or regulations requiring the payment of additional taxes, would create increased costs and administrative burdens for us. If we are subject to additional taxes and determined to offset such increased costs by collecting and remitting sales taxes from our customers, or otherwise passing those costs through to our customers, companies may be discouraged from using our platform. Any increased tax burden may decrease our ability or willingness to compete in relatively burdensome tax jurisdictions, result in substantial tax liabilities related to past sales, or otherwise harm our business and operating results.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3670"/>
                <wp:effectExtent l="0" t="0" r="0" b="0"/>
                <wp:wrapNone/>
                <wp:docPr id="37" name="Frame3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as a multinational organization, we may be subject to taxation in several jurisdictions around the world with increasingly complex tax laws and the amount of taxes we pay in these jurisdictions could increase substantially as a result of changes in the applicable tax principles, including increased tax rates, new tax laws, or revised interpretations of existing tax laws and precedents. Furthermore, the authorities in these jurisdictions could review our tax returns and impose additional tax, interest, and penalties, and the authorities could claim various withholding requirements apply to us or our subsidiaries or assert benefits of tax treaties are not available to us or our subsidiaries, any of which could have a material impact on us and the results of our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ability to use net operating losses to offset future taxable income may be subject to certain limitations.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we had gross U.S. federal and state net operating loss carryforwards, or NOLs, of $295.9 million and $306.8 million, respectively, available to offset future taxable income. NOLs generated in tax years ended on or prior to December 31, 2017 will substantially expire by 2037 if unused. As a result of certain provisions in the Tax Cuts and Jobs Act of 2017, or the TCJA, as modified by the Coronavirus Aid, Relief, and Economic Security Act, or CARES Act, federal NOLs generated in tax years beginning after December 31, 2017 may be carried forward indefinitely but, in the case of tax years beginning after 2020, may only be used to offset 80% of our taxable income annually.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more-than-50-percent ownership change over a three-year testing period. Based upon our analysis as of December 31, 2023, we have determined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we also had gross foreign NOLs of $192.3 million, primarily at our Swiss subsidiary, Appian Software International. As of December 31, 2023, we had tax-effected Swiss NOLs of $21.8 million. We also had tax-effected Swiss NOL expirations of $1.1 million in 2023, and a piece of our foreign NOLs will continue to expire each year if unutilized. If we are limited in our ability to use our NOLs in future years in which we have taxable income, we will pay more taxes than if we were able to fully utilize our NOLs. This could adversely affect our operating results and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During the evaluation and testing process of our internal controls, if we identify one or more material weaknesses in our internal control over financial reporting, we will be unable to assert our internal control over financial reporting is effective. While we have established certain procedures and controls over our financial reporting processes, we cannot provide assurance these efforts will prevent restatements of our financial statements in the future. Our independent registered public accounting firm is also required, pursuant to Section 404, to attest to and report on management’s assessment of our internal control over financial reporting, which report is included elsewhere in this Annual Report on Form 10-K. This assessment is required to include disclosure of any material weaknesses identified by our management in our internal control over financial reporting. For future reporting periods, our independent registered public accounting firm may issue a report that is adverse in the event it is not satisfied with the level at which our controls are documented, designed, or operating. We may not be able to remediate any future material weaknesses or to complete our evaluation, testing, and any required remediation in a timely fashion.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3670"/>
                <wp:effectExtent l="0" t="0" r="0" b="0"/>
                <wp:wrapNone/>
                <wp:docPr id="38" name="Frame3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failure to maintain internal control over financial reporting could severely inhibit our ability to accurately report our financial condition or results of operations. If we are unable to conclude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The dual class structure of our common stock and the existing ownership of capital stock by Matt Calkins, our founder and Chief Executive Officer, has the effect of concentrating voting control with Mr. Calkins for the foreseeable future, which will limit the ability of others to influence corporate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B common stock has ten votes per share, and our Class A common stock has one vote per share. Given the greater number of votes per share attributed to our Class B common stock, our Class B stockholders collectively beneficially owned shares representing approximately 88% of the voting power of our outstanding capital stock as of December 31, 2023. Further, Mr. Calkins, our founder and Chief Executive Officer, together with his affiliates, collectively beneficially owned shares representing approximately 81% of the voting power of our outstanding capital stock as of December 31, 2023. Consequently, Mr. Calkins, together with his affiliates, is able to control a majority of the voting power even if their stock holdings represent as few as approximately 24% of the outstanding number of shares of our common stock. This concentrated control will limit the ability of others to influence corporate matters for the foreseeable future. For example, Mr. Calkins will be able to control elections of directors, amendments of our certificate of incorporation or bylaws, increases to the number of shares available for issuance under our equity incentive plans or adoption of new equity incentive plans, and approval of any merger or sale of assets for the foreseeable future. This concentrated control could also discourage a potential investor from acquiring our Class A common stock due to the limited voting power of such stock relative to the Class B common stock and might harm the market price of our Class A common stock. In addition, Mr. Calkins has the ability to control the management and major strategic investments of our company as a result of his position as our Chief Executive Officer and his ability to control the election or replacement of our directors. As a board member and officer, Mr. Calkins owes a fiduciary duty to our stockholders and must act in good faith in a manner he reasonably believes to be in the best interests of our stockholders. However, as a stockholder, even a controlling stockholder, Mr. Calkins is entitled to vote his shares, and shares over which he has voting control, in his own interests, which may not always be in the interests of our stockholders generally.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Future transfers by Mr. Calkins and other holders of Class B common stock will generally result in those shares converting on a 1:1 basis to Class A common stock, which will have the effect, over time, of increasing the relative voting power of those holders of Class B common stock who retain their shares in the long-term.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do not intend to pay dividends on our common stock for the foreseeable future so any returns will depend on appreciation in the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never declared or paid any cash dividends on our common stock, and we do not intend to pay any cash dividends in the foreseeable future. We anticipate we will retain all of our future earnings for use in the development of our business and for general corporate purposes. Additionally, our ability to pay dividends on our common stock is limited by restrictions under the terms of our Credit Agreement.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3670"/>
                <wp:effectExtent l="0" t="0" r="0" b="0"/>
                <wp:wrapNone/>
                <wp:docPr id="39" name="Frame3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to the effects of our dual class structure, 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 a Delaware corporation from engaging in any of a broad range of business combinations with any “interested” stockholder for a period of three years following the date on which the stockholder became an “interested” stockholder. Any of the foregoing provisions could limit the price investors might be willing to pay in the future for shares of our Class A common stock, and they could deter potential acquirers of our company, thereby reducing the likelihood a stockholder would receive a premium for its shares of our Class A common stock in an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and limit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our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amended and restated certificate of incorporation, or our amended and restated bylaws, or (4) any action asserting a claim governed by the internal affairs doctrine. Our amended and restated certificate of incorporation also provides the federal district courts of the United States of America will be the exclusive forum for resolving any complaint asserting a cause of action arising under the Securities Act. Our amended and restated certificate of incorporation further provides any person or entity purchasing or otherwise acquiring any interest in shares of our Class A common stock is deemed to have notice of and consented to the foregoing provisions. The forum selection clause in our amended and restated certificate of incorporation may limit our stockholders’ ability to obtain a favorable judicial forum for disputes with us and limit the market price of our Class A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General Risk Factors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Unfavorable conditions in the global economy or the vertical markets we serve could limit our ability to grow our business and negatively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 worldwide economic conditions have experienced significant instability due to the global economic uncertainty and financial market conditions caused by the ongoing Russia-Ukraine war and unrest in the Middle East. In addition, inflation rates in the recent past rose to historically high levels. The existence of inflation in the U.S. and global economy has, and may continue to result in, higher interest rates and capital costs, increased costs of labor, fluctuating exchange rates, and other similar effects.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These conditions make it extremely difficult for customers and us to accurately forecast and plan future business activities and could cause customers to reduce or delay their software spending. At this time, the potential impact on customer spend from an economic slowdown is difficult to predict and, therefore, it is not possible to fully determine the impact on our future results. Historically, economic downturns have resulted in overall reductions in software spending. If macroeconomic conditions deteriorate or are characterized by uncertainty or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3670"/>
                <wp:effectExtent l="0" t="0" r="0" b="0"/>
                <wp:wrapNone/>
                <wp:docPr id="40" name="Frame3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customers may curtail or freeze spending on software in general and for software such as ours specifically, which could have an adverse impact on our business, financial condition, and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we cannot predict the timing, strength, or duration of any economic slowdown or recovery. In addition, even if the overall economy is robust, we cannot provide assurances that the market for services such as ours will experience growth or that we will experience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stock price has been volatile and may be volatile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 price of our Class A common stock has been volatile and may continue to fluctuate substantially as a result of a variety of factors. Since shares of our Class A common stock were sold in our initial public offering, or IPO, in May 2017 at a price of $12.00 per share, our stock price has ranged from an intraday low of $14.60 to an intraday high of $260.00 through February 12, 2024. Factors that may affect the market price of our Class A common stock and our ability to raise capital through the sale of additional equity securities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Variance in our financial performance from expectations of securities analysts;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prices of subscriptions to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our projected operating and financial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laws or regulations applicable to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Announcements by us or our competitors of significant business developments, acquisitions, or new offerings;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involvement in any litigation;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sale of our Class A common stock or other securities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senior management or key personnel;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trading volume of our Class A common stock;</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Trading activity by any of our four large stockholders who collectively owned approximately 37% of our publicly traded Class A common stock as of December 31, 2023;</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anticipated future size and growth rate of our market;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economic, regulatory, and market conditions.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stock markets have experienced extreme price and volume fluctuations that have affected and continue to affect the market prices of equity securities of many companies, particularly during this time of uncertainty with increasing interest rates, inflation, and the prospects of a recession.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securities or industry analysts do not publish research or reports about our business, or publish negative reports about our business, our stock price and trading volume could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trading market for our Class A common stock depends, in part, on the research and reports securities or industry analysts publish about us or our business. We do not have any control over these analysts. If our financial performance fails to meet analyst estimates or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3670"/>
                <wp:effectExtent l="0" t="0" r="0" b="0"/>
                <wp:wrapNone/>
                <wp:docPr id="41" name="Frame3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w:t>
      </w:r>
      <w:r>
        <w:rPr>
          <w:rFonts w:ascii="Tahoma;sans-serif" w:hAnsi="Tahoma;sans-serif"/>
          <w:b/>
          <w:color w:val="000000"/>
          <w:sz w:val="20"/>
        </w:rPr>
        <w:t>tem 1B. Unresolved Staff Comments.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Cybersecurity Risk Management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part of our overall risk management system, we have established certain procedures to assess, identify, and manage material risks from cybersecurity threats. Our cybersecurity risk management system is designed to align with industry best practices, including International Organization for Standardization, or ISO, standards, provide a framework for handling cybersecurity threats and incidents, and facilitate coordination across different departments of our company. As part of this system, we have a formally documented information security management program and conduct regular tabletop exercises that include participation from executive officers. In addition, we engage consultants and other third parties who are experts in the cybersecurity risk management field to review and provide testing services as well as general incident management services. These engagements directly contribute to industry certifications and attestations that demonstrate our dedication to protecting the data that we are entrusted with by customers. Our Governance, Risk and Compliance team within the information security management program oversees and identifies material cybersecurity risks associated with our use of these third-party service providers through a formal vendor security risk management program.</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Board Governance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One of the Board’s key functions is informed oversight of our risk management process, which includes responsibility for ensuring management has processes in place designed to identify, evaluate, manage, and mitigate cybersecurity risks to which it is exposed. The Board receives regular updates, on at least a quarterly basis, from our senior management team on such cybersecurity risks, developments in cybersecurity, and updates to the Company’s information security management program. The Board is also involved in strategic decisions related to the impact of these risks on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Management Governance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senior management team, which includes our Chief Information Security Officer, or CISO, is responsible for identifying, assessing, and managing material risks from cybersecurity threats, as well as for establishing processes to ensure such risks are monitored and mitigated, with the CISO taking the lead on such matters. Our CISO, who joined Appian in May 2021, brings over 17 years’ experience in security and compliance initiatives, including experience in the software-as-a-service and platform-as-a-service cloud industries. We have documented the framework and process for when and by whom senior management is informed and when such information will be reported to the other parties in our Incident Response Guide, which is regularly reviewed and updated by the information security team.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2. Properties.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our corporate headquarters occupies approximately 300,000 square feet in McLean, Virginia under an operating lease that expires in October 2031. Approximately 32,000 square feet of headquarters space is subleased. We also lease space in Australia, Italy, India, Spain, and the United Kingdom under operating lease agreements with various expiration dates through 2028. In addition, we utilize flexible workspaces depending on the occupancy needs in each of the countries we operate in. We believe our facilities are suitable and adequate to meet our needs.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53670"/>
                <wp:effectExtent l="0" t="0" r="0" b="0"/>
                <wp:wrapNone/>
                <wp:docPr id="42" name="Frame4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3. Legal Proceedings.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Pegasystems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May 29, 2020, we filed a civil complaint against Pegasystems, Inc. (“Pegasystems”) and Youyong Zou, a Virginia resident, in the Circuit Court for Fairfax County, Virginia. Appian Corp v. Pegasystems Inc. &amp; Youyong Zou, No. 2020-07216 (Fairfax Cty. Ct.).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Defendant Youyong Zou has satisfied the judgment of $5,000 (plus interest) against him in lieu of appealing that judgment. On September 15, 2022, Pegasystems filed a notice of appeal to the Court of Appeals of Virginia. Both sides have submitted their respective appeal briefs to the Court of Appeals, and the Court held a hearing on the appeal on November 15, 2023. The timeline of the case is solely within the control of the Court of Appeals until it rules. Pegasystems is not required to pay us the judgment, attorney’s fees, or post-judgment interest until all appeals are exhausted. We cannot predict the outcome of any appeals or the exact time it will take to resolve them. Consistent with other judgments, there is no guarantee we will be able to collect all or any portion of the judgment.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From time to time, we may become involved in legal proceedings or be subject to claims arising in the ordinary course of our business. Other than as disclosed elsewhere in this Annual Report,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time and resources, and other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4. Mine Safety Disclosures.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53670"/>
                <wp:effectExtent l="0" t="0" r="0" b="0"/>
                <wp:wrapNone/>
                <wp:docPr id="43" name="Frame4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5. Market for Registrant's Common Equity, Related Stockholder Matters, and Issuer Purchases of Equity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Market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A common stock is listed on the Nasdaq Global Market under the symbol “APPN.” Our Class B common stock is not listed or traded on any stock exchange.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February 12, 2024, there were 18 holders of record of our Class A common stock and 32 holders of record of our Class B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never declared or paid as a public company, and do not anticipate declaring or paying in the foreseeable future, any cash dividends on our common stock. Any future determination as to the declaration and payment of dividends or share repurchase program, if any, will be at the discretion of our Board of Directors, subject to applicable laws, and will depend on then existing conditions, including our financial condition, operating results, contractual restrictions pursuant to our outstanding Credit Agreement, capital requirements, business prospects, and other factors our Board of Directors may deem relevant.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53670"/>
                <wp:effectExtent l="0" t="0" r="0" b="0"/>
                <wp:wrapNone/>
                <wp:docPr id="44" name="Frame4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Stock Performance Graph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This section is not deemed “filed” with the SEC and shall not be deemed incorporated by reference into any of our other filings under the Exchange Act or the Securities Act, irrespective of any general incorporation language in any such filing.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graph shows a comparison from December 31, 2018 through December 31, 2023, of the cumulative five year total return for an investment of $100 in our Class A common stock, the Nasdaq Global Market Composite Index, and the Nasdaq Computer Index. Data for the Nasdaq Global Market Composite Index and the Nasdaq Computer Index assume reinvestment of any dividends. The comparisons in the graph below are based upon historical data and are not indicative of, nor intended to forecast, future performance of our common stock.</w:t>
      </w:r>
    </w:p>
    <w:p>
      <w:pPr>
        <w:pStyle w:val="TextBody"/>
        <w:bidi w:val="0"/>
        <w:spacing w:lineRule="auto" w:line="288" w:before="240" w:after="283"/>
        <w:ind w:left="0" w:right="0" w:firstLine="360"/>
        <w:jc w:val="center"/>
        <w:rPr>
          <w:rFonts w:ascii="Tahoma;sans-serif" w:hAnsi="Tahoma;sans-serif"/>
          <w:b/>
          <w:color w:val="000000"/>
          <w:sz w:val="28"/>
        </w:rPr>
      </w:pPr>
      <w:r>
        <w:rPr>
          <w:rFonts w:ascii="Tahoma;sans-serif" w:hAnsi="Tahoma;sans-serif"/>
          <w:b/>
          <w:color w:val="000000"/>
          <w:sz w:val="28"/>
        </w:rPr>
        <w:t>Comparison of Cumulative Five Year Total Return</w:t>
      </w:r>
    </w:p>
    <w:p>
      <w:pPr>
        <w:pStyle w:val="TextBody"/>
        <w:bidi w:val="0"/>
        <w:spacing w:lineRule="auto" w:line="288" w:before="60" w:after="283"/>
        <w:ind w:left="0" w:right="0" w:firstLine="360"/>
        <w:jc w:val="center"/>
        <w:rPr>
          <w:rFonts w:ascii="Tahoma;sans-serif" w:hAnsi="Tahoma;sans-serif"/>
          <w:b w:val="false"/>
          <w:color w:val="000000"/>
          <w:sz w:val="20"/>
        </w:rPr>
      </w:pPr>
      <w:r>
        <w:rPr>
          <w:rFonts w:ascii="Tahoma;sans-serif" w:hAnsi="Tahoma;sans-serif"/>
          <w:b w:val="false"/>
          <w:color w:val="000000"/>
          <w:sz w:val="20"/>
        </w:rPr>
        <w:t>Among Appian Corporation, the Nasdaq Global Market Composite Index, and the Nasdaq Computer Index</w:t>
      </w:r>
    </w:p>
    <w:p>
      <w:pPr>
        <w:pStyle w:val="TextBody"/>
        <w:bidi w:val="0"/>
        <w:spacing w:before="60" w:after="283"/>
        <w:ind w:left="0" w:right="0" w:firstLine="360"/>
        <w:jc w:val="center"/>
        <w:rPr/>
      </w:pPr>
      <w:r>
        <w:rPr/>
        <w:drawing>
          <wp:inline distT="0" distB="0" distL="0" distR="0">
            <wp:extent cx="6029325" cy="3619500"/>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4"/>
                    <a:stretch>
                      <a:fillRect/>
                    </a:stretch>
                  </pic:blipFill>
                  <pic:spPr bwMode="auto">
                    <a:xfrm>
                      <a:off x="0" y="0"/>
                      <a:ext cx="6029325" cy="36195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759"/>
        <w:gridCol w:w="667"/>
        <w:gridCol w:w="671"/>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2018</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2019</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2020</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Appian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Nasdaq Global Market Composite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Nasdaq Computer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53670"/>
                <wp:effectExtent l="0" t="0" r="0" b="0"/>
                <wp:wrapNone/>
                <wp:docPr id="46" name="Frame4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Purchase of Equity Securities by the Issuer and Affiliated Purchases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17"/>
        <w:gridCol w:w="427"/>
        <w:gridCol w:w="430"/>
        <w:gridCol w:w="576"/>
        <w:gridCol w:w="502"/>
        <w:gridCol w:w="503"/>
        <w:gridCol w:w="109"/>
        <w:gridCol w:w="109"/>
        <w:gridCol w:w="109"/>
        <w:gridCol w:w="292"/>
        <w:gridCol w:w="895"/>
        <w:gridCol w:w="151"/>
        <w:gridCol w:w="109"/>
        <w:gridCol w:w="109"/>
        <w:gridCol w:w="109"/>
        <w:gridCol w:w="808"/>
        <w:gridCol w:w="749"/>
        <w:gridCol w:w="751"/>
        <w:gridCol w:w="109"/>
        <w:gridCol w:w="109"/>
        <w:gridCol w:w="109"/>
        <w:gridCol w:w="884"/>
        <w:gridCol w:w="673"/>
        <w:gridCol w:w="966"/>
      </w:tblGrid>
      <w:tr>
        <w:trPr/>
        <w:tc>
          <w:tcPr>
            <w:tcW w:w="6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Period</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000000"/>
                <w:sz w:val="18"/>
              </w:rPr>
              <w:t>Total number of shares purchased</w:t>
            </w:r>
            <w:r>
              <w:rPr>
                <w:rFonts w:ascii="Tahoma;sans-serif" w:hAnsi="Tahoma;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000000"/>
                <w:sz w:val="18"/>
              </w:rPr>
              <w:t xml:space="preserve">Maximum number of shares that may yet be purchased under the plan </w:t>
            </w:r>
            <w:r>
              <w:rPr>
                <w:rFonts w:ascii="Tahoma;sans-serif" w:hAnsi="Tahoma;sans-serif"/>
                <w:b w:val="false"/>
                <w:color w:val="000000"/>
                <w:sz w:val="12"/>
              </w:rPr>
              <w:t>(2)</w:t>
            </w:r>
          </w:p>
        </w:tc>
      </w:tr>
      <w:tr>
        <w:trPr/>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October 1 to October 31, 2023</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5,182 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44.05 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5,182 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876,206 </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November 1 to November 30, 2023</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5,370 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870,836 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December 1 to December 31, 2023</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5,657 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5,657 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865,179 </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10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16,209 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41.34 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16,209 </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865,179 </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ahoma;sans-serif" w:hAnsi="Tahoma;sans-serif"/>
          <w:b w:val="false"/>
          <w:color w:val="000000"/>
          <w:sz w:val="10"/>
        </w:rPr>
        <w:t xml:space="preserve">(1) </w:t>
      </w:r>
      <w:r>
        <w:rPr>
          <w:rFonts w:ascii="Tahoma;sans-serif" w:hAnsi="Tahoma;sans-serif"/>
          <w:b w:val="false"/>
          <w:color w:val="000000"/>
          <w:sz w:val="16"/>
        </w:rPr>
        <w:t>Shares purchased represent shares purchased on the open market pursuant to the Appian Corporation Employee Stock Purchase Plan (“ESPP”), which was approved by the Company’s stockholders on June 11, 2021. The ESPP provides employees with an opportunity to purchase the Company’s common stock through payroll deductions and provides for a Company match of 5% to 15%, subject to limits set forth in the ESPP. Shares purchased under the ESPP are deposited into the participants’ accounts.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000000"/>
          <w:sz w:val="10"/>
        </w:rPr>
        <w:t xml:space="preserve">(2) </w:t>
      </w:r>
      <w:r>
        <w:rPr>
          <w:rFonts w:ascii="Tahoma;sans-serif" w:hAnsi="Tahoma;sans-serif"/>
          <w:b w:val="false"/>
          <w:color w:val="000000"/>
          <w:sz w:val="16"/>
        </w:rPr>
        <w:t>Because the number of shares that may be purchased under the ESPP depends on each employee’s voluntary election to participate and contribution elections and on the fair market value of our Class A Common Stock at various future dates, the actual number of shares that may be purchased under the plan cannot be determined in advance. We have filed a registration statement on S-8 that covers 1,000,000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Item 6.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53670"/>
                <wp:effectExtent l="0" t="0" r="0" b="0"/>
                <wp:wrapNone/>
                <wp:docPr id="47" name="Frame4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7. Management's Discussion and Analysis of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under “Risk Factors” included in Part I, Item 1A or in other parts of this Annual Report on Form 10-K.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Overview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is a software company that automates business processes. The Appian AI Process Platform includes everything you need to design, automate, and optimize even the most complex processes, from start to finish. The world's most innovative organizations trust Appian to improve their workflows, unify data, and optimize operations—resulting in better growth and superior customer experiences.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generated the majority of our revenue from sales of subscriptions, which include (1) cloud subscriptions bundled with maintenance and support and hosting services and (2) term license subscriptions bundled with maintenance and support. Our subscription contracts are priced based primarily on the number of users who access and utilize the applications built on our platform or, alternatively, non-user-based single application licenses. Our subscription contract terms generally vary from one to three years with most providing for payment in advance on an annual, quarterly, or monthly basis. Due to the variability of our billing terms and the episodic nature of our customers purchasing additional subscriptions, we do not believe changes in our deferred revenue in a given period are directly correlated with our revenue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invested in our Customer Success organization to help ensure customers are able to build and deploy applications on our platform. We have several strategic partnerships, including with Accenture, Capgemini, Deloitte, EY, KPMG, PwC, and TCS, which allow them to refer customers to us in order to purchase subscriptions. Our partners then provide professional services directly to the customers using our platform. We intend to continue focusing on adding new customers with our strategic partners. In addition, over time we expect our professional services revenue as a percentage of total revenue to decline as we increasingly rely on strategic partners to help our customers deploy our software. We believe our investment in professional services, including strategic partners building their practices around Appian, will drive increased adoption of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we had approximately 1,000 customers. Our customers primarily include financial services, government, life sciences, insurance, manufacturing, energy, healthcare, telecommunications, and transportation organizations. Generally, our sales team targets its efforts to organizations with over 2,000 employees and $2 billion in annual revenue. Revenue from government agencies represented 21.3%, 19.2%, and 19.6% of our total revenue in 2023, 2022, and 2021, respectively. No single end-customer accounted for more than 10% of our total revenue in 2023, 2022, and 2021.</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offer our platform globally. Our platform supports multiple languages to facilitate collaboration and address challenges in multinational organizations. In 2023, 2022, and 2021, 35.8%, 33.5%, and 34.0%, respectively, of our total revenue was generated from customers outside of the United States. As of December 31, 2023, we operated in 16 countries. We believe we have a significant opportunity to continue to grow our international footprint, and we are investing in new geographies, including through investment in direct and indirect sales channels, professional services, and customer support and implementation partners.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strong revenue growth, with revenue of $545.4 million, $468.0 million, and $369.3 million in 2023, 2022, and 2021, respectively. Our subscriptions revenue was $412.3 million, $340.2 million, and $263.7 million in 2023, 2022, and 2021, respectively, and includes sales of our cloud subscriptions, on-premises term license subscriptions, and maintenance and support. Our cloud subscriptions revenue was $304.5 million, $236.9 million, and $179.4 million in 2023, 2022, and 2021,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53670"/>
                <wp:effectExtent l="0" t="0" r="0" b="0"/>
                <wp:wrapNone/>
                <wp:docPr id="48" name="Frame4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invested in developing our platform, expanding our sales and marketing and research and development capabilities, and providing general and administrative resources to support our growth. We intend to continue to invest in our business to take advantage of our market opportunity. As a result, we incurred net losses of $111.4 million, $150.9 million, and $88.6 million in 2023, 2022, and 2021, respectively. We also used cash in operations of $110.4 million, $106.6 million, and $53.9 million in 2023, 2022, and 2021,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Business Model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model focuses on maximizing the lifetime value of customer relationships, which is a function of the duration of a customer’s deployment of our platform as well as the price and number of subscriptions of our platform a customer purchases. We incur significant customer acquisition costs, including expenses associated with hiring new sales representatives, who can take anywhere from six months to a year to become productive given the length of our sales cycle, and marketing costs which, with the exception of certain types of sales commissions, are expensed as incurred.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At the same time, we believe the costs we incur to retain customers and drive additional purchases of software are lower than our customer acquisition costs on a relative basis. Over time, we expect a large portion of our customers to renew their subscriptions and purchase additional subscriptions as they continue to build more applications and add more users to our platform. Over the last three completed fiscal years, we had an average cloud subscription gross revenue renewal rate of 98%, which is calculated by dividing (i) the cloud subscriptions revenue from renewing cloud customers in the current 12-month period that were cloud customers during the entirety of the prior 12-month period, giving effect to price increases but excluding additional cloud subscriptions for additional users, or upsells, by (ii) our cloud subscriptions revenue from all cloud customers in the corresponding prior 12-month period that were cloud customers during the entirety of such prior 12-month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shd w:fill="FFFFFF" w:val="clear"/>
        </w:rPr>
        <w:t xml:space="preserve">We also </w:t>
      </w:r>
      <w:r>
        <w:rPr>
          <w:rFonts w:ascii="Tahoma;sans-serif" w:hAnsi="Tahoma;sans-serif"/>
          <w:b w:val="false"/>
          <w:color w:val="000000"/>
          <w:sz w:val="20"/>
        </w:rPr>
        <w:t>measure the effectiveness of our business model by comparing the lifetime value of our customer relationships to our customer acquisition costs. On a rolling 12-month basis, we estimate that for each of the past five fiscal years, the average lifetime value of a customer has been at least seven times greater than the associated average cost of acquiring them, including the year ended December 31, 2023.</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Factors Affecting Our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are several key factors that affect our performance: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Market Adoption of Our Platform -</w:t>
      </w:r>
      <w:r>
        <w:rPr>
          <w:color w:val="000000"/>
        </w:rPr>
        <w:t xml:space="preserve"> </w:t>
      </w:r>
      <w:r>
        <w:rPr>
          <w:rFonts w:ascii="Tahoma;sans-serif" w:hAnsi="Tahoma;sans-serif"/>
          <w:b w:val="false"/>
          <w:color w:val="000000"/>
          <w:sz w:val="20"/>
        </w:rPr>
        <w:t>Our ability to grow our customer base and drive market adoption of our platform is affected by the pace at which organizations digitally transform. We expect our revenue growth will be primarily driven by the pace of adoption and penetration of our platform. We offer a leading custom software platform and intend to continue to invest to expand our customer base. The degree to which prospective customers recognize the need for our software platform and its ability to enable their organizations to digitally transform, and subsequently allocate budget dollars to purchase our software, will drive our ability to acquire new customers and increase sales to existing customers, which, in turn, will affect our future financial performance.</w:t>
      </w:r>
    </w:p>
    <w:p>
      <w:pPr>
        <w:pStyle w:val="TextBody"/>
        <w:bidi w:val="0"/>
        <w:spacing w:lineRule="auto" w:line="288" w:before="120" w:after="283"/>
        <w:ind w:left="0" w:right="0" w:hanging="360"/>
        <w:jc w:val="left"/>
        <w:rPr/>
      </w:pPr>
      <w:r>
        <w:rPr>
          <w:color w:val="000000"/>
          <w:shd w:fill="FFFFFF" w:val="clear"/>
        </w:rPr>
        <w:t>•</w:t>
      </w:r>
      <w:r>
        <w:rPr>
          <w:rFonts w:ascii="Tahoma;sans-serif" w:hAnsi="Tahoma;sans-serif"/>
          <w:b/>
          <w:i/>
          <w:color w:val="000000"/>
          <w:sz w:val="20"/>
        </w:rPr>
        <w:t>Growth of Our Customer Base -</w:t>
      </w:r>
      <w:r>
        <w:rPr>
          <w:color w:val="000000"/>
        </w:rPr>
        <w:t xml:space="preserve"> </w:t>
      </w:r>
      <w:r>
        <w:rPr>
          <w:rFonts w:ascii="Tahoma;sans-serif" w:hAnsi="Tahoma;sans-serif"/>
          <w:b w:val="false"/>
          <w:color w:val="000000"/>
          <w:sz w:val="20"/>
        </w:rPr>
        <w:t>We believe we have a substantial opportunity to grow our customer base. We have aggressively invested, and intend to continue to invest, in our sales team in order to drive sales to new customers. We continue to make investments to enhance the expertise of our sales and marketing organization within our key industry verticals of financial services, government, life sciences, insurance, and manufacturing. In 2023, we generated over 76% of our subscriptions revenue from customers in these verticals. In addition, we have established relationships with strategic partners who work with organizations undergoing digital transformations. As of December 31, 2023 our total customer count was approximately 1,000. Our ability to continue to grow our customer base is dependent, in part, upon our ability to differentiate ourselves within the increasingly competitive markets in which we participate.</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Further Penetration of Existing Customers -</w:t>
      </w:r>
      <w:r>
        <w:rPr>
          <w:color w:val="000000"/>
        </w:rPr>
        <w:t xml:space="preserve"> </w:t>
      </w:r>
      <w:r>
        <w:rPr>
          <w:rFonts w:ascii="Tahoma;sans-serif" w:hAnsi="Tahoma;sans-serif"/>
          <w:b w:val="false"/>
          <w:color w:val="000000"/>
          <w:sz w:val="20"/>
        </w:rPr>
        <w:t xml:space="preserve">Our sales team seeks to generate additional revenue from existing customers by adding new users to our platform. Many of our customers begin by building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53670"/>
                <wp:effectExtent l="0" t="0" r="0" b="0"/>
                <wp:wrapNone/>
                <wp:docPr id="49" name="Frame4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ahoma;sans-serif" w:hAnsi="Tahoma;sans-serif"/>
          <w:b w:val="false"/>
          <w:color w:val="000000"/>
          <w:sz w:val="20"/>
        </w:rPr>
      </w:pPr>
      <w:r>
        <w:rPr>
          <w:rFonts w:ascii="Tahoma;sans-serif" w:hAnsi="Tahoma;sans-serif"/>
          <w:b w:val="false"/>
          <w:color w:val="000000"/>
          <w:sz w:val="20"/>
        </w:rPr>
        <w:t>single application and then grow to build dozens of applications on our platform. Generally, the development of new applications on our platform results in the expansion of our user base within an organization and a corresponding increase in revenue. As a result of this “land and expand” strategy, we have generated significant additional revenue from our customer base. Our ability to increase sales to existing customers will depend on a number of factors, including the size of our sales and professional services teams, customers’ level of satisfaction with our platform and professional services, pricing, economic conditions, and our customers’ overall spending levels. We have also re-focused some of our professional services personnel to become customer success managers. Their role is to ensure customers realize value from our platform and support strategic partners and the “land and expand” strategy versus delivering billable hours.</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Mix of Subscriptions and Professional Services Revenue -</w:t>
      </w:r>
      <w:r>
        <w:rPr>
          <w:color w:val="000000"/>
        </w:rPr>
        <w:t xml:space="preserve"> </w:t>
      </w:r>
      <w:r>
        <w:rPr>
          <w:rFonts w:ascii="Tahoma;sans-serif" w:hAnsi="Tahoma;sans-serif"/>
          <w:b w:val="false"/>
          <w:color w:val="000000"/>
          <w:sz w:val="20"/>
        </w:rPr>
        <w:t>We believe our professional services have driven customer success and facilitated the adoption of our platform by customers. During the initial period of deployment of our platform by a customer, we generally provide a greater amount of support in building applications and training than later in the deployment, with a typical engagement lasting from two to six months. At the same time, many of our customers have historically purchased subscriptions only for a limited set of their total potential end users. As a result of these factors, the proportion of total revenue for a customer associated with professional services is relatively high during the initial deployment period. Over time, as the need for professional services associated with user deployments decreases and the number of end users increases, we expect subscriptions revenue as a percentage of total revenue to increase. In addition, we continue to grow our base of strategic partners to provide broader customer coverage and solution delivery capabilities. These partners perform professional services with respect to any new service contracts they originate. As the usage of strategic partners expands, we expect the proportion of our total revenue from subscriptions to increase over time relative to professional services. In 2023, 2022, and 2021, 75.6%, 72.7%, and 71.4% of our revenue, respectively, was derived from sales of subscriptions, while the remaining 24.4%, 27.3%, and 28.6%, respectively, was derived from the sale of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Investments in Growth -</w:t>
      </w:r>
      <w:r>
        <w:rPr>
          <w:color w:val="000000"/>
        </w:rPr>
        <w:t xml:space="preserve"> </w:t>
      </w:r>
      <w:r>
        <w:rPr>
          <w:rFonts w:ascii="Tahoma;sans-serif" w:hAnsi="Tahoma;sans-serif"/>
          <w:b w:val="false"/>
          <w:color w:val="000000"/>
          <w:sz w:val="20"/>
        </w:rPr>
        <w:t xml:space="preserve">We have made, and plan to continue to make, investments for long-term growth, including investing in our platform and infrastructure to continuously maximize their power and speed, meet the evolving needs of our customers, and take advantage of our market opportunity. In addition, we may pursue strategic acquisitions that enhance our product offerings. We also intend to continue to invest in sales and marketing as we further expand our sales teams, increase our marketing activities, and grow our international operations.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Seasonality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 buying patterns typical in the software industry. Furthermore, we usually enter into a significant portion of agreements with customers during the last month of each quarter and often the last two weeks of each quarter. However, we recognize the majority of our subscriptions revenue ratably over the terms of our subscription agreements. As a result, a substantial portion of the subscriptions revenue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Such a decline, however, will negatively affect our revenue in future periods. Accordingly, the effect of significant downturns in sales, the market acceptance of our platform, or potential changes in our rate of renewals may not be fully reflected in our results of operations until future periods.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While we will continue to recognize the majority of our subscriptions revenue ratably over the terms of our subscription agreements, we may experience greater variability and reduced comparability of our quarterly revenue and results with respect to the timing and nature of our term license subscription agreements due to the upfront revenue recognition. See Note 3 to the consolidated financial statements for further details on our revenue recognition policies.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53670"/>
                <wp:effectExtent l="0" t="0" r="0" b="0"/>
                <wp:wrapNone/>
                <wp:docPr id="50" name="Frame4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Metrics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monitor the following metrics to help us measure and evaluate the effectiveness of our operations. All dollar amounts are presented in thousands.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Subscriptions Revenue</w:t>
      </w:r>
    </w:p>
    <w:p>
      <w:pPr>
        <w:pStyle w:val="TextBody"/>
        <w:bidi w:val="0"/>
        <w:spacing w:before="0" w:after="0"/>
        <w:ind w:left="0" w:right="0" w:firstLine="360"/>
        <w:jc w:val="left"/>
        <w:rPr/>
      </w:pPr>
      <w:r>
        <w:rPr/>
      </w:r>
    </w:p>
    <w:tbl>
      <w:tblPr>
        <w:tblW w:w="6612" w:type="dxa"/>
        <w:jc w:val="left"/>
        <w:tblInd w:w="0" w:type="dxa"/>
        <w:tblLayout w:type="fixed"/>
        <w:tblCellMar>
          <w:top w:w="28" w:type="dxa"/>
          <w:left w:w="28" w:type="dxa"/>
          <w:bottom w:w="28" w:type="dxa"/>
          <w:right w:w="28" w:type="dxa"/>
        </w:tblCellMar>
      </w:tblPr>
      <w:tblGrid>
        <w:gridCol w:w="863"/>
        <w:gridCol w:w="760"/>
        <w:gridCol w:w="762"/>
        <w:gridCol w:w="211"/>
        <w:gridCol w:w="856"/>
        <w:gridCol w:w="109"/>
        <w:gridCol w:w="109"/>
        <w:gridCol w:w="109"/>
        <w:gridCol w:w="109"/>
        <w:gridCol w:w="211"/>
        <w:gridCol w:w="856"/>
        <w:gridCol w:w="109"/>
        <w:gridCol w:w="109"/>
        <w:gridCol w:w="109"/>
        <w:gridCol w:w="109"/>
        <w:gridCol w:w="211"/>
        <w:gridCol w:w="85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subscriptions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304,481 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236,922 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179,415 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Cloud subscriptions revenue includes cloud subscriptions bundled with maintenance and support and hosting services. In 2023, 2022, and 2021, 73.8%, 69.7%, and 68.0%, respectively, of subscriptions revenue was cloud subscriptions revenue. Our cloud subscriptions revenue for any customer is primarily determined by the number of users who access and utilize the applications built on our platform or by the number of application licenses purchased, as well as the price paid. We believe increasing cloud subscriptions revenue is an indicator of the demand for our platform, the pace at which the market for our solutions is growing, the productivity of our sales team and strategic relationships in growing our customer base, and our ability to further penetrate our existing customer base.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Subscriptions Revenue Retention Rate</w:t>
      </w:r>
    </w:p>
    <w:p>
      <w:pPr>
        <w:pStyle w:val="TextBody"/>
        <w:bidi w:val="0"/>
        <w:spacing w:before="0" w:after="0"/>
        <w:ind w:left="0" w:right="0" w:firstLine="360"/>
        <w:jc w:val="left"/>
        <w:rPr/>
      </w:pPr>
      <w:r>
        <w:rPr/>
      </w:r>
    </w:p>
    <w:tbl>
      <w:tblPr>
        <w:tblW w:w="6567" w:type="dxa"/>
        <w:jc w:val="left"/>
        <w:tblInd w:w="0" w:type="dxa"/>
        <w:tblLayout w:type="fixed"/>
        <w:tblCellMar>
          <w:top w:w="28" w:type="dxa"/>
          <w:left w:w="28" w:type="dxa"/>
          <w:bottom w:w="28" w:type="dxa"/>
          <w:right w:w="28" w:type="dxa"/>
        </w:tblCellMar>
      </w:tblPr>
      <w:tblGrid>
        <w:gridCol w:w="1276"/>
        <w:gridCol w:w="1123"/>
        <w:gridCol w:w="1126"/>
        <w:gridCol w:w="240"/>
        <w:gridCol w:w="241"/>
        <w:gridCol w:w="300"/>
        <w:gridCol w:w="109"/>
        <w:gridCol w:w="109"/>
        <w:gridCol w:w="109"/>
        <w:gridCol w:w="240"/>
        <w:gridCol w:w="241"/>
        <w:gridCol w:w="300"/>
        <w:gridCol w:w="109"/>
        <w:gridCol w:w="109"/>
        <w:gridCol w:w="109"/>
        <w:gridCol w:w="240"/>
        <w:gridCol w:w="241"/>
        <w:gridCol w:w="345"/>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subscriptions revenue retention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 key factor to our success is the renewal and expansion of subscription agreements with our existing customers. We calculate this metric over a set of customers who have been with us for at least one full year. To calculate our cloud subscriptions revenue retention rate for a particular trailing 12-month period, we first establish the recurring cloud subscriptions revenue for the previous trailing 12-month period. This effectively represents recurring dollars we should expect in the current trailing 12-month period from the cohort of customers from the previous trailing 12-month period without any expansion or contraction. We subsequently measure the recurring cloud subscriptions revenue in the current trailing 12-month period from the cohort of customers from the previous trailing 12-month period. Cloud subscriptions revenue retention rate is then calculated by dividing the aggregate recurring cloud subscriptions revenue in the current trailing 12-month period by the previous trailing 12-month period. This calculation includes the combined impact on our revenue from customer non-renewals, pricing changes, and growth in the number of users on our platform. Our cloud subscriptions revenue retention rate can fluctuate from period to period due to large customer contracts in any given period.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Components of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revenue primarily through sales of subscriptions to our platform as well as professional services. We generally sell our software on a per-user basis or through non-user-based single application licenses. We generally bill customers and collect payment for subscriptions to our platform in advance on an annual, quarterly, or monthly basis. In certain instances, we have had customers pay their entire contract value up front.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revenue is comprised of the following:</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53670"/>
                <wp:effectExtent l="0" t="0" r="0" b="0"/>
                <wp:wrapNone/>
                <wp:docPr id="51" name="Frame4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revenue is primarily derived from cloud subscriptions bundled with maintenance and support and hosting services and on-premises term license subscriptions bundled with maintenance and support. Our maintenance and support agreements provide customers with the right to unspecified software upgrades, maintenance releases and patches released during the term of the maintenance and support agreement on a when-and-if-available basis, and rights to technical support. On-premises term license subscriptions are offered when the customer prefers to self-manage the deployment of our platform within their own infrastructure. When our platform is delivered as a cloud subscription, we manage operational needs in third-party hosted data centers.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professional services revenue is comprised of fees for consulting services, including application development, deployment assistance, and training related to our platform. Over time, we expect professional services revenue as a percentage of total revenue to decrease as the usage of our partner network expands.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subscriptions revenue consists primarily of fees paid to our third-party managed hosting providers and other third-party service providers, personnel costs, including payroll and benefits for our technology operations and customer support teams, amortization of developed technology, and allocated overhead costs. We expect cost of revenue to continue to increase in absolute dollars for the foreseeable future as our customer base grows.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professional services revenue includes all direct and indirect costs to deliver our professional services and training, including employee compensation for our global professional services and training personnel, third-party contractor costs, allocated overhead costs, and the costs of billable expenses such as travel and lodging. The unpredictability of the timing of providing services related to significant professional services agreements sold on a standalone basis may cause significant fluctuations in our cost of professional services which, in turn, may impact our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Gross Profit and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Gross profit and gross margin (defined as gross profit as a percentage of total revenue), have been, and will continue to be, affected by various factors, including the mix of cloud subscriptions and on-premises term license subscriptions, the mix of total subscriptions revenue and professional services revenue, subscription pricing, the costs associated with third-party hosting providers, and the extent to which we expand our professional services to support future growth. Our gross margin may fluctuate from period to period based on the above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Subscriptions Gross Margin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gross margin is primarily affected by the growth in our subscriptions revenue as compared to the growth in, and timing of, costs to support such revenue. We expect to continue to invest in customer support and cloud operations to support growth in our business, and the timing of those investments is expected to cause subscriptions gross margin to fluctuate on a quarterly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Professional services gross margin is affected by the growth in our professional services revenue as compared to the growth in, and timing of, the costs of our Customer Success organization as we continue to invest in the growth of our business, as well as by consultant utilization rates. Professional services gross margin is also impacted by the amount of services performed by subcontractors and partners as opposed to internal resources.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53670"/>
                <wp:effectExtent l="0" t="0" r="0" b="0"/>
                <wp:wrapNone/>
                <wp:docPr id="52" name="Frame4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2022, we had a lower usage of subcontractors and performed fewer in-person professional services engagements and deployments, both of which reduced certain classes of expenses and improved professional services margins. In 2023, these margins began to decline. In 2024, we expect professional services gross margin to be consistent with 2023; however, the margin remains subject to fluctuation based on the factors discussed 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Operating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Operating expenses consist of sales and marketing, research and development, and general and administrative expenses. Personnel-related costs such as salaries, bonuses, commissions, payroll tax payments, and stock-based compensation expense are the most significant components of each of these expense categories. Other components of each category include professional fees for third-party services such as legal, software development resources, and contractors. In addition, operating expenses include allocated overhead costs, which are primarily comprised of facility costs, employee medical benefits, employee relations expense, and certain information technology costs for such items as infrastructure, software, and cloud computing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general, our operating expenses are expected to continue to increase in absolute dollars as we invest resources in growing our various teams. During 2023, our total employee headcount remained relatively consistent, decreasing from 2,307 employees at December 31, 2022 to 2,257 employees at December 31, 2023. In 2024, we expect to hire new employees in key growth areas, although at a more measured rate than prior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Sales and Marketing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Sales and marketing expense primarily includes personnel costs, including salaries, bonuses, commissions, stock-based compensation, and other personnel costs related to sales teams. Additional major expenses in this category include travel and entertainment, marketing activities and promotional events, subcontracting fees, and allocated overhead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number of employees in sales and marketing functions decreased from 730 at December 31, 2022 to 666 at December 31, 2023. While headcount declined in 2023, we expect to grow sales and marketing headcount during 2024 in our principal markets and strategic growth areas. We expect sales and marketing expense to increase in absolute dollars as we continue to invest to acquire new customers and further expand usage of our platform within our existing customer base. We will continue our efforts to build on our brand reputation and increase market awareness of our platform.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Research and Development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Research and development expense consists primarily of personnel costs for our employees who develop and enhance our platform, including salaries, bonuses, stock-based compensation, and other personnel costs. Also included are non-personnel costs such as subcontracting, consulting, professional fees to third party development resources, and allocated overhead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research and development efforts are focused on enhancing the capabilities, speed, and power of our software platform. The number of employees in research and development functions grew from 652 at December 31, 2022 to 681 at December 31, 2023. Most of this increase was attributable to expansion at our product development center in India that we opened in August 2022. Although we expect research and development expense to continue to increase in absolute dollars as such costs are critical to maintain and improve the quality of applications and our competitive position, we believe our product development center will result in cost savings over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General and Administrative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General and administrative expense consists primarily of personnel costs, including salaries, bonuses, stock-based compensation, and other personnel costs for our administrative, legal, information technology, human resources, finance and accounting teams as well as our senior executives. Additional expenses included in this category are non-personnel costs such as travel-related expenses, contracting and professional fees for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53670"/>
                <wp:effectExtent l="0" t="0" r="0" b="0"/>
                <wp:wrapNone/>
                <wp:docPr id="53" name="Frame5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services as audits, taxation, and legal, insurance and other corporate expenses, including allocated overhead costs, and bad debt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The number of employees in general and administrative functions decreased from 316 at December 31, 2022 to 280 at December 31, 2023. In 2024, we expect general and administrative expense to increase in absolute dollars largely due to amortization expense associated with the judgment preservation insurance as discussed in Note 13 to the consolidated financial statements and investments in our information technology team.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Non-Operating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Other Expense (Income),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(income) expense, net, consists primarily of gains and losses related to changes in foreign currency exchange rates, interest income on our cash and cash equivalents and investments, and other sources of income or expense not related to our core business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Interest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consists primarily of interest on our debt, amortization of deferred financing fees, unused credit facility fees, and commitment fees on our letters of credit.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53670"/>
                <wp:effectExtent l="0" t="0" r="0" b="0"/>
                <wp:wrapNone/>
                <wp:docPr id="54" name="Frame5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(in thousands):</w:t>
      </w:r>
    </w:p>
    <w:p>
      <w:pPr>
        <w:pStyle w:val="TextBody"/>
        <w:bidi w:val="0"/>
        <w:spacing w:before="0" w:after="0"/>
        <w:ind w:left="0" w:right="0" w:firstLine="360"/>
        <w:jc w:val="left"/>
        <w:rPr/>
      </w:pPr>
      <w:r>
        <w:rPr/>
      </w:r>
    </w:p>
    <w:tbl>
      <w:tblPr>
        <w:tblW w:w="7317" w:type="dxa"/>
        <w:jc w:val="center"/>
        <w:tblInd w:w="0" w:type="dxa"/>
        <w:tblLayout w:type="fixed"/>
        <w:tblCellMar>
          <w:top w:w="28" w:type="dxa"/>
          <w:left w:w="28" w:type="dxa"/>
          <w:bottom w:w="28" w:type="dxa"/>
          <w:right w:w="28" w:type="dxa"/>
        </w:tblCellMar>
      </w:tblPr>
      <w:tblGrid>
        <w:gridCol w:w="1052"/>
        <w:gridCol w:w="923"/>
        <w:gridCol w:w="935"/>
        <w:gridCol w:w="211"/>
        <w:gridCol w:w="946"/>
        <w:gridCol w:w="109"/>
        <w:gridCol w:w="109"/>
        <w:gridCol w:w="109"/>
        <w:gridCol w:w="109"/>
        <w:gridCol w:w="211"/>
        <w:gridCol w:w="946"/>
        <w:gridCol w:w="109"/>
        <w:gridCol w:w="109"/>
        <w:gridCol w:w="109"/>
        <w:gridCol w:w="109"/>
        <w:gridCol w:w="211"/>
        <w:gridCol w:w="85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xml:space="preserve">Year Ended December 31, </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369,259 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Subscriptions</w:t>
            </w:r>
            <w:r>
              <w:rPr>
                <w:rFonts w:ascii="Tahoma;sans-serif" w:hAnsi="Tahoma;sans-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Professional services</w:t>
            </w:r>
            <w:r>
              <w:rPr>
                <w:rFonts w:ascii="Tahoma;sans-serif" w:hAnsi="Tahoma;sans-serif"/>
                <w:b w:val="false"/>
                <w:color w:val="000000"/>
                <w:sz w:val="10"/>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76,763 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402,041 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334,685 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265,166 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Sales and marketing</w:t>
            </w:r>
            <w:r>
              <w:rPr>
                <w:rFonts w:ascii="Tahoma;sans-serif" w:hAnsi="Tahoma;sans-serif"/>
                <w:b w:val="false"/>
                <w:color w:val="000000"/>
                <w:sz w:val="10"/>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Research and development</w:t>
            </w:r>
            <w:r>
              <w:rPr>
                <w:rFonts w:ascii="Tahoma;sans-serif" w:hAnsi="Tahoma;sans-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General and administrative</w:t>
            </w:r>
            <w:r>
              <w:rPr>
                <w:rFonts w:ascii="Tahoma;sans-serif" w:hAnsi="Tahoma;sans-serif"/>
                <w:b w:val="false"/>
                <w:color w:val="000000"/>
                <w:sz w:val="10"/>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510,014 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479,695 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349,073 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(145,010)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(83,907)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before income taxes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(87,863)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Stock-based compensation as a component of these line items is as follows:</w:t>
      </w:r>
    </w:p>
    <w:p>
      <w:pPr>
        <w:pStyle w:val="TextBody"/>
        <w:bidi w:val="0"/>
        <w:spacing w:before="0" w:after="0"/>
        <w:jc w:val="left"/>
        <w:rPr/>
      </w:pPr>
      <w:r>
        <w:rPr/>
      </w:r>
    </w:p>
    <w:tbl>
      <w:tblPr>
        <w:tblW w:w="6672" w:type="dxa"/>
        <w:jc w:val="left"/>
        <w:tblInd w:w="0" w:type="dxa"/>
        <w:tblLayout w:type="fixed"/>
        <w:tblCellMar>
          <w:top w:w="28" w:type="dxa"/>
          <w:left w:w="28" w:type="dxa"/>
          <w:bottom w:w="28" w:type="dxa"/>
          <w:right w:w="28" w:type="dxa"/>
        </w:tblCellMar>
      </w:tblPr>
      <w:tblGrid>
        <w:gridCol w:w="1127"/>
        <w:gridCol w:w="994"/>
        <w:gridCol w:w="999"/>
        <w:gridCol w:w="196"/>
        <w:gridCol w:w="646"/>
        <w:gridCol w:w="109"/>
        <w:gridCol w:w="109"/>
        <w:gridCol w:w="109"/>
        <w:gridCol w:w="109"/>
        <w:gridCol w:w="196"/>
        <w:gridCol w:w="646"/>
        <w:gridCol w:w="109"/>
        <w:gridCol w:w="109"/>
        <w:gridCol w:w="109"/>
        <w:gridCol w:w="109"/>
        <w:gridCol w:w="196"/>
        <w:gridCol w:w="646"/>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Year Ended 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2021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(in thousands)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Cost of 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Subscriptions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Operating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Total stock-based compensation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53670"/>
                <wp:effectExtent l="0" t="0" r="0" b="0"/>
                <wp:wrapNone/>
                <wp:docPr id="55" name="Frame5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data expressed as a percentage of total revenue:</w:t>
      </w:r>
    </w:p>
    <w:p>
      <w:pPr>
        <w:pStyle w:val="TextBody"/>
        <w:bidi w:val="0"/>
        <w:spacing w:before="0" w:after="0"/>
        <w:ind w:left="0" w:right="0" w:firstLine="360"/>
        <w:jc w:val="left"/>
        <w:rPr/>
      </w:pPr>
      <w:r>
        <w:rPr/>
      </w:r>
    </w:p>
    <w:tbl>
      <w:tblPr>
        <w:tblW w:w="6453" w:type="dxa"/>
        <w:jc w:val="center"/>
        <w:tblInd w:w="0" w:type="dxa"/>
        <w:tblLayout w:type="fixed"/>
        <w:tblCellMar>
          <w:top w:w="28" w:type="dxa"/>
          <w:left w:w="28" w:type="dxa"/>
          <w:bottom w:w="28" w:type="dxa"/>
          <w:right w:w="28" w:type="dxa"/>
        </w:tblCellMar>
      </w:tblPr>
      <w:tblGrid>
        <w:gridCol w:w="1051"/>
        <w:gridCol w:w="924"/>
        <w:gridCol w:w="935"/>
        <w:gridCol w:w="322"/>
        <w:gridCol w:w="324"/>
        <w:gridCol w:w="300"/>
        <w:gridCol w:w="110"/>
        <w:gridCol w:w="110"/>
        <w:gridCol w:w="110"/>
        <w:gridCol w:w="322"/>
        <w:gridCol w:w="324"/>
        <w:gridCol w:w="300"/>
        <w:gridCol w:w="110"/>
        <w:gridCol w:w="110"/>
        <w:gridCol w:w="110"/>
        <w:gridCol w:w="322"/>
        <w:gridCol w:w="324"/>
        <w:gridCol w:w="345"/>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75.6 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72.7 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71.4 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28.2 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71.8 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94.6 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(19.8)</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(31.0)</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before income taxes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(32.2)</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(23.9)</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(20.5)</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(32.3)</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(24.1)</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Year Ended December 31, 2023 Compared to the Year Ended December 31,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tbl>
      <w:tblPr>
        <w:tblW w:w="7150" w:type="dxa"/>
        <w:jc w:val="center"/>
        <w:tblInd w:w="0" w:type="dxa"/>
        <w:tblLayout w:type="fixed"/>
        <w:tblCellMar>
          <w:top w:w="28" w:type="dxa"/>
          <w:left w:w="28" w:type="dxa"/>
          <w:bottom w:w="28" w:type="dxa"/>
          <w:right w:w="28" w:type="dxa"/>
        </w:tblCellMar>
      </w:tblPr>
      <w:tblGrid>
        <w:gridCol w:w="634"/>
        <w:gridCol w:w="557"/>
        <w:gridCol w:w="564"/>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90"/>
        <w:gridCol w:w="290"/>
        <w:gridCol w:w="411"/>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21.2%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4.1%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16.5%</w:t>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Total revenue increased $77.4 million, or 16.5%, in 2023 compared to 2022 due to an increase in our subscriptions revenue of $72.2 million and an increase in our professional services revenue of $5.2 million. The increase in subscriptions revenue was driven by a $67.6 million increase in cloud subscriptions revenue, a $2.5 million increase in on-premises software revenue, and a $2.1 million increase in maintenance and support revenue. With respect to new versus existing customers, $53.8 million of the increase in subscriptions revenue was derived from expanded deployments and corresponding sales of additional subscriptions to existing customers while $18.4 million was driven from sales of subscriptions to new customers. The increase in professional services revenue was due to a $12.5 million increase in sales to new customers, which was partially offset by a $7.3 million decrease in revenue from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53670"/>
                <wp:effectExtent l="0" t="0" r="0" b="0"/>
                <wp:wrapNone/>
                <wp:docPr id="56" name="Frame5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ind w:left="0" w:right="0" w:firstLine="360"/>
        <w:jc w:val="left"/>
        <w:rPr/>
      </w:pPr>
      <w:r>
        <w:rPr/>
      </w:r>
    </w:p>
    <w:tbl>
      <w:tblPr>
        <w:tblW w:w="8598" w:type="dxa"/>
        <w:jc w:val="center"/>
        <w:tblInd w:w="0" w:type="dxa"/>
        <w:tblLayout w:type="fixed"/>
        <w:tblCellMar>
          <w:top w:w="28" w:type="dxa"/>
          <w:left w:w="28" w:type="dxa"/>
          <w:bottom w:w="28" w:type="dxa"/>
          <w:right w:w="28" w:type="dxa"/>
        </w:tblCellMar>
      </w:tblPr>
      <w:tblGrid>
        <w:gridCol w:w="1032"/>
        <w:gridCol w:w="906"/>
        <w:gridCol w:w="911"/>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90"/>
        <w:gridCol w:w="290"/>
        <w:gridCol w:w="411"/>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21.0%</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99,759 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97,301 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2.5%</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143,322 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133,306 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7.5%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 gross margin</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 gross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Cost of revenue increased $10.0 million, or 7.5%, in 2023 compared to 2022, primarily due to a $5.9 million increase in hosting costs, a $2.8 million increase in professional services and product support personnel costs, and a $1.7 million increase in overhead costs. These increases were partially offset by a $0.8 million decrease in contractor costs. Hosting costs increased due to an increase in sales of our cloud offering during 2023. Personnel costs increased due to an increase in professional services and product support personnel headcount of 3.4% from December 31, 2022 to December 31, 2023 in addition to increased wages, coupled with a $0.7 million increase in stock-based compensation. The increase in overhead costs was driven by higher costs associated with employee medical benefits and information technology expenses. Contractor costs decreased in 2023 compared to 2022 due to a decrease in the usage of subcontractors for professional service engagements.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gross margin was 89.4% in 2023, consistent with the prior year as increases in subscriptions revenue were offset by a corresponding increase in hosting costs. Professional services gross margin increased to 25.0% in 2023 as compared to 23.9% in 2022 due to higher professional services revenue, which was partially offset by higher personnel costs in 2023. Total gross margin increased to 73.7% in 2023 as compared to 71.5% in 2022 driven largely by the increases in revenue and the improved professional services gross margin as compared to the prior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Sales and Marketing Expense</w:t>
      </w:r>
    </w:p>
    <w:p>
      <w:pPr>
        <w:pStyle w:val="TextBody"/>
        <w:bidi w:val="0"/>
        <w:spacing w:before="0" w:after="0"/>
        <w:ind w:left="0" w:right="0" w:firstLine="360"/>
        <w:jc w:val="left"/>
        <w:rPr/>
      </w:pPr>
      <w:r>
        <w:rPr/>
      </w:r>
    </w:p>
    <w:tbl>
      <w:tblPr>
        <w:tblW w:w="7489" w:type="dxa"/>
        <w:jc w:val="center"/>
        <w:tblInd w:w="0" w:type="dxa"/>
        <w:tblLayout w:type="fixed"/>
        <w:tblCellMar>
          <w:top w:w="28" w:type="dxa"/>
          <w:left w:w="28" w:type="dxa"/>
          <w:bottom w:w="28" w:type="dxa"/>
          <w:right w:w="28" w:type="dxa"/>
        </w:tblCellMar>
      </w:tblPr>
      <w:tblGrid>
        <w:gridCol w:w="631"/>
        <w:gridCol w:w="553"/>
        <w:gridCol w:w="556"/>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90"/>
        <w:gridCol w:w="290"/>
        <w:gridCol w:w="411"/>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242,381 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220,374 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10.0%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Sales and marketing expense increased $22.0 million, or 10.0%, in 2023 compared to 2022, primarily due to a $25.1 million increase in sales and marketing personnel costs and a $1.0 million increase in overhead costs. These increases were partially offset by a $3.6 million decrease in marketing costs. Although there was a 8.8% decrease in sales and marketing personnel headcount from December 31, 2022 to December 31, 2023, personnel costs overall increased due to increased wages, a $7.4 million increase in sales commissions driven by both contracts with new customers and renewals with existing customers, a $4.7 million increase in severance expense, and a $1.7 million increase in stock-based compensation expense. Overhead costs increased primarily due to a $0.8 million increase in employee relations costs stemming from higher expenditures related to internal sales and marketing events. Marketing costs decreased due to declines in advertising and lead generation expenses as well as a decrease in spending on marketing materials.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53670"/>
                <wp:effectExtent l="0" t="0" r="0" b="0"/>
                <wp:wrapNone/>
                <wp:docPr id="57" name="Frame5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w:t>
      </w:r>
    </w:p>
    <w:p>
      <w:pPr>
        <w:pStyle w:val="TextBody"/>
        <w:bidi w:val="0"/>
        <w:spacing w:before="0" w:after="0"/>
        <w:ind w:left="0" w:right="0" w:firstLine="360"/>
        <w:jc w:val="left"/>
        <w:rPr/>
      </w:pPr>
      <w:r>
        <w:rPr/>
      </w:r>
    </w:p>
    <w:tbl>
      <w:tblPr>
        <w:tblW w:w="8029" w:type="dxa"/>
        <w:jc w:val="center"/>
        <w:tblInd w:w="0" w:type="dxa"/>
        <w:tblLayout w:type="fixed"/>
        <w:tblCellMar>
          <w:top w:w="28" w:type="dxa"/>
          <w:left w:w="28" w:type="dxa"/>
          <w:bottom w:w="28" w:type="dxa"/>
          <w:right w:w="28" w:type="dxa"/>
        </w:tblCellMar>
      </w:tblPr>
      <w:tblGrid>
        <w:gridCol w:w="826"/>
        <w:gridCol w:w="726"/>
        <w:gridCol w:w="728"/>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90"/>
        <w:gridCol w:w="290"/>
        <w:gridCol w:w="411"/>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153,098 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10.0%</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Research and development expense increased $13.9 million, or 10.0%, in 2023 compared to 2022, primarily due to a $13.1 million increase in research and development personnel costs and a $1.4 million increase in overhead costs. These increases were partially offset by a $0.6 million decrease in professional fees. Personnel costs increased due to an increase in research and development personnel headcount of 4.4% from December 31, 2022 to December 31, 2023 in addition to increased wages and a $1.0 million increase in severance expense. Overhead costs increased due to higher costs associated with employee medical benefits and rent. Professional fees decreased due to a decrease in consulting services fees driven by lower usage of external resources to assist in our platform development efforts.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General and Administrative Expense</w:t>
      </w:r>
    </w:p>
    <w:p>
      <w:pPr>
        <w:pStyle w:val="TextBody"/>
        <w:bidi w:val="0"/>
        <w:spacing w:before="0" w:after="0"/>
        <w:ind w:left="0" w:right="0" w:firstLine="360"/>
        <w:jc w:val="left"/>
        <w:rPr/>
      </w:pPr>
      <w:r>
        <w:rPr/>
      </w:r>
    </w:p>
    <w:tbl>
      <w:tblPr>
        <w:tblW w:w="8688" w:type="dxa"/>
        <w:jc w:val="center"/>
        <w:tblInd w:w="0" w:type="dxa"/>
        <w:tblLayout w:type="fixed"/>
        <w:tblCellMar>
          <w:top w:w="28" w:type="dxa"/>
          <w:left w:w="28" w:type="dxa"/>
          <w:bottom w:w="28" w:type="dxa"/>
          <w:right w:w="28" w:type="dxa"/>
        </w:tblCellMar>
      </w:tblPr>
      <w:tblGrid>
        <w:gridCol w:w="1070"/>
        <w:gridCol w:w="941"/>
        <w:gridCol w:w="943"/>
        <w:gridCol w:w="211"/>
        <w:gridCol w:w="856"/>
        <w:gridCol w:w="286"/>
        <w:gridCol w:w="109"/>
        <w:gridCol w:w="109"/>
        <w:gridCol w:w="109"/>
        <w:gridCol w:w="211"/>
        <w:gridCol w:w="856"/>
        <w:gridCol w:w="286"/>
        <w:gridCol w:w="109"/>
        <w:gridCol w:w="109"/>
        <w:gridCol w:w="109"/>
        <w:gridCol w:w="211"/>
        <w:gridCol w:w="736"/>
        <w:gridCol w:w="109"/>
        <w:gridCol w:w="109"/>
        <w:gridCol w:w="109"/>
        <w:gridCol w:w="109"/>
        <w:gridCol w:w="290"/>
        <w:gridCol w:w="290"/>
        <w:gridCol w:w="411"/>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114,535 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120,111 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(4.6)%</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General and administrative expense decreased $5.6 million, or 4.6%, in 2023 compared to 2022, primarily due to a $21.1 million decrease in professional fees. These decreases were partially offset by a $9.9 million increase in overhead costs and a $6.0 million increase in general and administrative personnel costs. Professional fees decreased due largely to lower legal and consulting fees. Overhead costs increased primarily due to a $6.0 million increase in amortization expense associated with our judgment preservation insurance policy, a $2.4 million increase in depreciation expense, and higher costs associated with employee medical benefits. Although there was a decrease in general and administrative personnel headcount of 11.4% from December 31, 2022 to December 31, 2023, personnel costs increased due to increased wages, a $2.2 million increase in stock compensation expense, and a $0.4 million increase in severance expense.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(Income) Expense, Net</w:t>
      </w:r>
    </w:p>
    <w:p>
      <w:pPr>
        <w:pStyle w:val="TextBody"/>
        <w:bidi w:val="0"/>
        <w:spacing w:before="0" w:after="0"/>
        <w:ind w:left="0" w:right="0" w:firstLine="360"/>
        <w:jc w:val="left"/>
        <w:rPr/>
      </w:pPr>
      <w:r>
        <w:rPr/>
      </w:r>
    </w:p>
    <w:tbl>
      <w:tblPr>
        <w:tblW w:w="8044" w:type="dxa"/>
        <w:jc w:val="center"/>
        <w:tblInd w:w="0" w:type="dxa"/>
        <w:tblLayout w:type="fixed"/>
        <w:tblCellMar>
          <w:top w:w="28" w:type="dxa"/>
          <w:left w:w="28" w:type="dxa"/>
          <w:bottom w:w="28" w:type="dxa"/>
          <w:right w:w="28" w:type="dxa"/>
        </w:tblCellMar>
      </w:tblPr>
      <w:tblGrid>
        <w:gridCol w:w="880"/>
        <w:gridCol w:w="772"/>
        <w:gridCol w:w="778"/>
        <w:gridCol w:w="211"/>
        <w:gridCol w:w="841"/>
        <w:gridCol w:w="286"/>
        <w:gridCol w:w="109"/>
        <w:gridCol w:w="109"/>
        <w:gridCol w:w="109"/>
        <w:gridCol w:w="211"/>
        <w:gridCol w:w="646"/>
        <w:gridCol w:w="286"/>
        <w:gridCol w:w="109"/>
        <w:gridCol w:w="109"/>
        <w:gridCol w:w="109"/>
        <w:gridCol w:w="211"/>
        <w:gridCol w:w="841"/>
        <w:gridCol w:w="109"/>
        <w:gridCol w:w="109"/>
        <w:gridCol w:w="109"/>
        <w:gridCol w:w="109"/>
        <w:gridCol w:w="290"/>
        <w:gridCol w:w="290"/>
        <w:gridCol w:w="411"/>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income, net was $17.6 million in 2023 compared to other expense, net of $3.5 million in 2022. There were $8.7 million in foreign exchange gains in 2023 compared to $6.1 million in foreign exchange losses in 2022. Additionally, there was a $7.7 million increase in interest income stemming from increased investments. These increases were partially offset by a $1.2 million decrease in other income attributable to a payment received in 2022 from a local government as a result of achieving certain economic development criteria.</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53670"/>
                <wp:effectExtent l="0" t="0" r="0" b="0"/>
                <wp:wrapNone/>
                <wp:docPr id="58" name="Frame5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Interest Expense </w:t>
      </w:r>
    </w:p>
    <w:p>
      <w:pPr>
        <w:pStyle w:val="TextBody"/>
        <w:bidi w:val="0"/>
        <w:spacing w:before="0" w:after="0"/>
        <w:ind w:left="0" w:right="0" w:firstLine="360"/>
        <w:jc w:val="left"/>
        <w:rPr/>
      </w:pPr>
      <w:r>
        <w:rPr/>
      </w:r>
    </w:p>
    <w:tbl>
      <w:tblPr>
        <w:tblW w:w="6859" w:type="dxa"/>
        <w:jc w:val="center"/>
        <w:tblInd w:w="0" w:type="dxa"/>
        <w:tblLayout w:type="fixed"/>
        <w:tblCellMar>
          <w:top w:w="28" w:type="dxa"/>
          <w:left w:w="28" w:type="dxa"/>
          <w:bottom w:w="28" w:type="dxa"/>
          <w:right w:w="28" w:type="dxa"/>
        </w:tblCellMar>
      </w:tblPr>
      <w:tblGrid>
        <w:gridCol w:w="515"/>
        <w:gridCol w:w="454"/>
        <w:gridCol w:w="456"/>
        <w:gridCol w:w="211"/>
        <w:gridCol w:w="751"/>
        <w:gridCol w:w="286"/>
        <w:gridCol w:w="109"/>
        <w:gridCol w:w="109"/>
        <w:gridCol w:w="109"/>
        <w:gridCol w:w="211"/>
        <w:gridCol w:w="646"/>
        <w:gridCol w:w="286"/>
        <w:gridCol w:w="109"/>
        <w:gridCol w:w="109"/>
        <w:gridCol w:w="109"/>
        <w:gridCol w:w="211"/>
        <w:gridCol w:w="751"/>
        <w:gridCol w:w="109"/>
        <w:gridCol w:w="109"/>
        <w:gridCol w:w="109"/>
        <w:gridCol w:w="109"/>
        <w:gridCol w:w="290"/>
        <w:gridCol w:w="290"/>
        <w:gridCol w:w="411"/>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 Indicates a percentage change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Interest expense increased $16.2 million in 2023 compared to the same period in 2022, primarily due to interest expense on the new term loan facility we entered into during the fourth quarter of 2022.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Year Ended December 31, 2022 Compared to the Year Ended December 31, 2021</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a discussion and analysis of changes in financial condition and results of operations for the year ended December 31, 2022 as compared to the year ended December 31, 2021, refer to our Annual Report on Form 10-K for the fiscal year ended December 31, 2022, filed with the SEC on February 16, 2023.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Backlog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Backlog represents non-cancellable future amounts to be recognized under cloud and on-premises term license subscription agreements and is representative of our remaining performance obligations. As of December 31, 2023 and 2022, we had backlog of $489.7 million and $376.5 million, respectively. Approximately 37% of our backlog as of December 31, 2023 is not expected to be recognized in 2024. Additionally, we expect backlog to continue to increase in absolute dollars as we continue to increase the number of cloud agreements we enter into. However, the amount of backlog relative to the total value of our contracts can change from quarter to quarter and year to year for several reasons, including the specific timing and duration of cloud and on-premises term license subscription agreements with large customers, the specific timing of customer renewals, changes in customer financial circumstances, and foreign currency fluctuations. We often sign multiple-year cloud subscription agreements. Backlog may vary based on changes in the average non-cancellable term of our cloud and on-premises term license subscription agreements.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Non-GAAP Financial Measures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 supplement our consolidated financial statements, which are prepared and presented in accordance with GAAP, we provide investors with certain non-GAAP financial performance measures. We use these non-GAAP financial performance measures for financial and operational decision-making and as a means to evaluate period-to-period comparisons. Management believes these non-GAAP financial measures provide meaningful supplemental information regarding our performance by excluding certain expenses that may not be indicative of our recurring core business operating results. We believe both management and investors benefit from referring to these non-GAAP financial measures in assessing our performance and when planning, forecasting, and analyzing future periods. These non-GAAP financial measures also facilitate management’s internal comparisons to historical performance as well as comparisons to competitors’ operating results. We believe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non-GAAP financial performance measures include the following: non-GAAP subscriptions cost of revenue, non-GAAP professional services costs of revenue, non-GAAP total cost of revenue, non-GAAP total operating expense, non-GAAP operating loss, non-GAAP income tax expense, non-GAAP net loss, and non-GAAP net loss per share, basic and diluted. These non-GAAP financial performance measures exclude the effect of stock-based compensation expense, certain non-ordinary litigation-related expenses consisting of legal and other professional fees associated with the Pegasystems cases (net of insurance reimbursements), or Litigation Expense, amortization of the judgment preservation insurance policy, or JPI Amortization, and severance costs related to an involuntary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53670"/>
                <wp:effectExtent l="0" t="0" r="0" b="0"/>
                <wp:wrapNone/>
                <wp:docPr id="59" name="Frame5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reduction in our workforce in 2023, or Severance Costs.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we believe removing these items for purposes of calculating our non-GAAP financial measures provides investors with a more focused presentation of our ongoing operating performance.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also discuss adjusted EBITDA, a non-GAAP financial performance measure we believe offers a useful view of the overall operation of our business. We define adjusted EBITDA as net loss before (1) other non-operating (income) expenses, net, (2) interest expense, (3) income tax expense, (4) depreciation expense and amortization of intangible assets, (5) stock-based compensation expense, (6) Litigation Expense, (7) JPI Amortization, and (8) Severance Costs. The most directly comparable GAAP financial measure to adjusted EBITDA is net loss. Users should consider the limitations of using adjusted EBITDA, including the fact this measure does not provide a complete measure of our operating performance. Adjusted EBITDA is not intended to purport to be an alternative to net loss as a measure of operating performance or to cash flows from operating activities as a measure of liquidity.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presentation of these non-GAAP financial measures is not intended to be considered in isolation from, as a substitute for, or superior to the financial information prepared and presented in accordance with GAAP, and our non-GAAP measures may be different from non-GAAP measures used by other companies.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53670"/>
                <wp:effectExtent l="0" t="0" r="0" b="0"/>
                <wp:wrapNone/>
                <wp:docPr id="60" name="Frame5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tables reconcile our non-GAAP measures to their nearest comparable GAAP measures (in thousands, except per share data):</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614"/>
        <w:gridCol w:w="539"/>
        <w:gridCol w:w="541"/>
        <w:gridCol w:w="211"/>
        <w:gridCol w:w="697"/>
        <w:gridCol w:w="117"/>
        <w:gridCol w:w="109"/>
        <w:gridCol w:w="109"/>
        <w:gridCol w:w="109"/>
        <w:gridCol w:w="330"/>
        <w:gridCol w:w="963"/>
        <w:gridCol w:w="185"/>
        <w:gridCol w:w="109"/>
        <w:gridCol w:w="109"/>
        <w:gridCol w:w="109"/>
        <w:gridCol w:w="243"/>
        <w:gridCol w:w="640"/>
        <w:gridCol w:w="135"/>
        <w:gridCol w:w="109"/>
        <w:gridCol w:w="109"/>
        <w:gridCol w:w="109"/>
        <w:gridCol w:w="290"/>
        <w:gridCol w:w="691"/>
        <w:gridCol w:w="162"/>
        <w:gridCol w:w="109"/>
        <w:gridCol w:w="109"/>
        <w:gridCol w:w="109"/>
        <w:gridCol w:w="256"/>
        <w:gridCol w:w="611"/>
        <w:gridCol w:w="144"/>
        <w:gridCol w:w="109"/>
        <w:gridCol w:w="109"/>
        <w:gridCol w:w="109"/>
        <w:gridCol w:w="234"/>
        <w:gridCol w:w="773"/>
        <w:gridCol w:w="19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Non-GAAP Measure</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Year Ended December 31, 2023</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Subscriptions 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43,563 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42,608 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Professional services cost of revenue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99,759 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(6,055)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93,546 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cost of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143,322 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(6,980)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(188)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136,154 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Total operating expense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510,014 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(36,407)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463,522 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Operating loss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(107,973)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6,299 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(54,313)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Income tax expense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42,085 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(59,222)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per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(0.81)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Year Ended December 31, 2022</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Subscriptions 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(996)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35,009 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Professional services cost of revenue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91,992 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cost of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133,306 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(6,305)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127,001 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Total operating expense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479,695 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(32,525)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(22,886)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424,284 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Operating loss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(145,010)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22,886 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(83,294)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(150,920)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22,886 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(89,204)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Year Ended December 31, 2021</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Subscriptions 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27,330 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(1,199)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26,131 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Professional services cost of revenue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76,763 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73,632 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cost of revenue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104,093 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99,763 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Total operating expense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349,073 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(19,514)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(16,400)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313,159 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Operating loss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(83,907)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23,844 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16,400 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(43,663)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(88,641)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23,844 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16,400 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(48,397)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6"/>
              </w:rPr>
            </w:pPr>
            <w:r>
              <w:rPr>
                <w:rFonts w:ascii="Tahoma;sans-serif" w:hAnsi="Tahoma;sans-serif"/>
                <w:b w:val="false"/>
                <w:color w:val="000000"/>
                <w:sz w:val="16"/>
              </w:rPr>
              <w:t>Net loss per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(0.68)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53670"/>
                <wp:effectExtent l="0" t="0" r="0" b="0"/>
                <wp:wrapNone/>
                <wp:docPr id="61" name="Frame5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reconciles GAAP net loss to adjusted EBITDA for the years ended December 31, 2023, 2022, and 2021 (in thousands):</w:t>
      </w:r>
    </w:p>
    <w:p>
      <w:pPr>
        <w:pStyle w:val="TextBody"/>
        <w:bidi w:val="0"/>
        <w:spacing w:before="0" w:after="0"/>
        <w:ind w:left="0" w:right="0" w:firstLine="360"/>
        <w:jc w:val="left"/>
        <w:rPr/>
      </w:pPr>
      <w:r>
        <w:rPr/>
      </w:r>
    </w:p>
    <w:tbl>
      <w:tblPr>
        <w:tblW w:w="9237" w:type="dxa"/>
        <w:jc w:val="left"/>
        <w:tblInd w:w="0" w:type="dxa"/>
        <w:tblLayout w:type="fixed"/>
        <w:tblCellMar>
          <w:top w:w="28" w:type="dxa"/>
          <w:left w:w="28" w:type="dxa"/>
          <w:bottom w:w="28" w:type="dxa"/>
          <w:right w:w="28" w:type="dxa"/>
        </w:tblCellMar>
      </w:tblPr>
      <w:tblGrid>
        <w:gridCol w:w="1753"/>
        <w:gridCol w:w="1540"/>
        <w:gridCol w:w="1552"/>
        <w:gridCol w:w="211"/>
        <w:gridCol w:w="946"/>
        <w:gridCol w:w="109"/>
        <w:gridCol w:w="109"/>
        <w:gridCol w:w="109"/>
        <w:gridCol w:w="109"/>
        <w:gridCol w:w="211"/>
        <w:gridCol w:w="946"/>
        <w:gridCol w:w="109"/>
        <w:gridCol w:w="109"/>
        <w:gridCol w:w="109"/>
        <w:gridCol w:w="109"/>
        <w:gridCol w:w="211"/>
        <w:gridCol w:w="841"/>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GAAP 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Depreciation expense and amortization of intangible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Litigation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JPI Amortization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Severance Costs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(75,997)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(37,920)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Liquidity and Capital Resources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presents selected financial information and statistics pertaining to liquidity and capital resources as of December 31, 2023 and 2022 (in thousands):</w:t>
      </w:r>
    </w:p>
    <w:p>
      <w:pPr>
        <w:pStyle w:val="TextBody"/>
        <w:bidi w:val="0"/>
        <w:spacing w:before="0" w:after="0"/>
        <w:ind w:left="0" w:right="0" w:firstLine="360"/>
        <w:jc w:val="left"/>
        <w:rPr/>
      </w:pPr>
      <w:r>
        <w:rPr/>
      </w:r>
    </w:p>
    <w:tbl>
      <w:tblPr>
        <w:tblW w:w="6789" w:type="dxa"/>
        <w:jc w:val="center"/>
        <w:tblInd w:w="0" w:type="dxa"/>
        <w:tblLayout w:type="fixed"/>
        <w:tblCellMar>
          <w:top w:w="28" w:type="dxa"/>
          <w:left w:w="28" w:type="dxa"/>
          <w:bottom w:w="28" w:type="dxa"/>
          <w:right w:w="28" w:type="dxa"/>
        </w:tblCellMar>
      </w:tblPr>
      <w:tblGrid>
        <w:gridCol w:w="1474"/>
        <w:gridCol w:w="1294"/>
        <w:gridCol w:w="1297"/>
        <w:gridCol w:w="211"/>
        <w:gridCol w:w="856"/>
        <w:gridCol w:w="109"/>
        <w:gridCol w:w="109"/>
        <w:gridCol w:w="109"/>
        <w:gridCol w:w="109"/>
        <w:gridCol w:w="211"/>
        <w:gridCol w:w="856"/>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investments and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Working capital</w:t>
            </w:r>
            <w:r>
              <w:rPr>
                <w:rFonts w:ascii="Tahoma;sans-serif" w:hAnsi="Tahoma;sans-serif"/>
                <w:b w:val="false"/>
                <w:color w:val="000000"/>
                <w:sz w:val="12"/>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Defined as current assets net of current liabilities, excluding the current portion of restricted cash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we had $149.4 million of cash and cash equivalents and $9.7 million of short-term investments and marketable securities. We believe our existing cash and cash equivalents and short-term investments and marketable securities, together with any positive cash flows from operations and available borrowings under our line of credit, will be sufficient to support working capital and capital expenditure requirements for at least the next twelve months.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recently have, and in the future may, enter into investments in or acquisitions of complementary businesses, products, or technologies, which could also require us to seek additional equity financing, incur indebtedness, or use cash resources. We have no present binding agreements or commitments to enter into any such acquisitions. If we are unable to raise additional capital when desired, our business, operating results, and financial condition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Sources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historically financed our operations in large part with equity financing arrangements. Our last public offering was completed in June 2020, which was our fourth round of public offerings. Through these public offerings we received net proceeds of $344.8 million.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 further help strengthen our financial position and support our growth initiatives, in November 2022 we entered into a Senior Secured Credit Facilities Credit Agreement, or the Credit Agreement, which provides for a five-year term loan facility in an aggregate principal amount of $150.0 million and, in addition, up to $75.0 million for a revolving credit facility, including a letter of credit sub-facility in the aggregate availability amount of $15.0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53670"/>
                <wp:effectExtent l="0" t="0" r="0" b="0"/>
                <wp:wrapNone/>
                <wp:docPr id="62" name="Frame5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and a swingline sub-facility in the aggregate availability amount of $10.0 million (as a sublimit of the revolving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addition, on February 12, 2024, we executed the fourth amendment to the credit agreement, which increased the aggregate principal amount of the term loan facility by $50.0 million, increased the limit of the revolving credit facility by $25.0 million, and amended certain covenants and definitions. The total aggregate term loan facility is now $200.0 million and the revolving credit facility is $100.0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Credit Agreement matures on November 3, 2027. We will use the proceeds from the term loan to fund the continued growth of our business and support our working capital requirements. We were in compliance with all covenants as of December 31, 2023. As of December 31, 2023, we had used borrowing capacity of $62.0 million under our $75.0 million revolving credit facility, and we had outstanding letters of credit totaling $11.8 million in connection with securing our leased office space.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expect future sources of funds to consist primarily of cash generated from sales of subscriptions and the related professional services. We may also elect to raise additional sources of funding through draws on our revolving credit facility, entering into new debt financing arrangements, or conducting additional public offerings. Our future capital requirements will depend on many factors, including our growth rate, the timing and extent of spending to support research and development efforts, the expansion of sales and marketing activities, particularly internationally, the introduction of new and enhanced products and functions as well as platform enhancements and professional services offerings, and the level of market acceptance of our product.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current principal uses of cash are funding operations and other working capital requirements. Historically, we have also utilized cash to pay for the acquisition of businesses that were complementary to ours, and we may pursue similar opportunities in the future. Over the past several years, revenue has increased significantly from year to year and, as a result, cash flows from customer collections have also grown. However, as we continue to invest in growing our business, operating expenses have also increased. Outside of cash used in operations, other uses of cash in 2023 included capital expenditures related to the expansion of our headquarters, repayments of existing debt, and purchases of investments. In addition, in September 2023, we entered into a judgment preservation insurance policy in connection with our $2.036 billion judgment against Pegasystems. The policy provides up to $500.0 million of coverage. See Note 13 to the consolidated financial statements for additional details. The total cost of the policy was $57.3 million, which we paid with operating cash on hand.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Furthermore, we have a non-cancellable cloud hosting arrangement with Amazon Web Services that contains provisions for minimum purchase commitments. Specifically, purchase commitments under the agreement total $131.0 million over five years. The agreement, which started in July 2021 and is now in its third year as of December 31, 2023, contains minimum spending requirements of $28.0 million in each of the third, fourth, and fifth years. Spending under this agreement for the years ended December 31, 2023, 2022, and 2021 totaled $36.6 million, $33.1 million, and $11.8 million, respectively. The timing of payments under the agreement may vary, and the total amount of payments may exceed the minimum depending on the volume of services utilized.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53670"/>
                <wp:effectExtent l="0" t="0" r="0" b="0"/>
                <wp:wrapNone/>
                <wp:docPr id="63" name="Frame6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Historical Cash Flows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86"/>
        <w:gridCol w:w="1447"/>
        <w:gridCol w:w="1455"/>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304"/>
        <w:gridCol w:w="306"/>
        <w:gridCol w:w="603"/>
      </w:tblGrid>
      <w:tr>
        <w:trPr/>
        <w:tc>
          <w:tcPr>
            <w:tcW w:w="168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44.7 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(26.2)</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and other non-cash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Changes in working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used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provided by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provided by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(44.6)</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Effect of exchange rates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(decrease) increase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a percentage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Operating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Net cash used by operating activities was $110.4 million for 2023 as compared to $106.6 million used by operating activities for 2022. The increase in net cash used by operating activities was primarily due to the $57.3 million payment for the premium of our judgment preservation insurance policy. This increase was partially offset by a $25.3 million decline in legal fees and stronger collections from accounts receivable during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Investing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provided by investing activities was $28.6 million for 2023 as compared to $10.3 million in net cash provided by investing activities for 2022. The increase in net cash provided by investing activities was primarily impacted by an $11.8 million decrease in purchases of investments and a $7.0 million increase in proceeds from the maturities of investments, both of which were partially offset by a $0.5 million increase in capital expenditures.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Financing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provided by financing activities was $79.2 million for 2023 as compared to $142.9 million in net cash provided by financing activities for 2022. The decrease in net cash provided by financing activities was primarily due to a $28.0 million decrease in proceeds from borrowings and a $24.7 million decrease in proceeds received from the exercise of stock options. In addition, the decrease was driven by a $9.7 million increase in payments for employee tax withholdings associated with the net settlement of stock awards and a $2.9 million increase in principal payments on the term loan. These decreases were partially offset by a $1.7 million decrease in payments for debt issuance costs.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53670"/>
                <wp:effectExtent l="0" t="0" r="0" b="0"/>
                <wp:wrapNone/>
                <wp:docPr id="64" name="Frame6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a discussion and analysis of net cash used in or provided by operating, investing, and financing activities for the year ended December 31, 2021, refer to our Annual Report on Form 10-K for the fiscal year ended December 31, 2022, filed with the SEC on February 16, 2023.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Critical Accounting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preparation of our consolidated financial statements in conformity with accounting principles generally accepted in the U.S. requires us to make estimates and judgments that affect the amounts reported in those financial statements and accompanying notes. Although we believe the estimates we use are reasonable, due to the inherent uncertainty involved in making those estimates, actual results reported in future periods could differ from those estimates.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the following accounting estimates embedded in our revenue recognition involve a high degree of judgment and complexity. Accordingly, we believe the estimates included in our revenue recognition accounting are the most critical to aid in fully understanding and evaluating our consolidated financial condition and results of operations. This commentary should be read in conjunction with our consolidated financial statements and the remainder of this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Revenue Recognition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subscriptions revenue primarily through the sale of cloud subscriptions bundled with maintenance and support and hosting services and term license subscriptions bundled with maintenance and support. We generate professional services revenue from fees for our consulting services, including application development and deployment assistance and training related to our platform. Significant judgments and estimates inherent in our revenue recognition are as follows: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Determining the Transaction 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transaction price, or the amount of consideration we expect to be entitled to receive in exchange for transferring services to our customers, includes both fixed and variable components. The variable components of our contracts, which have been nominal to date, include performance penalties, extended payment terms or implied price concessions, and warranty refunds. If necessary, we estimate these components using the expected value method, which estimates variable consideration as the sum of probability-weighted amounts in a range of possible consideration amounts. We believe this method is the most appropriate to utilize because our variable components could vary by contract, leading to multiple potential outcomes.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variable consideration estimates are subject to subsequent true-up adjustments which may result in changes to transaction prices, but such true-up adjustments are not expected to be material. Variable consideration is also included in the transaction price only to the extent it is probable a significant reversal will not occur. Factors considered when determining to incorporate variable consideration in the transaction price include, but are not limited to, whether the variable consideration is highly susceptible to factors outside of the Company's influence, the length of time the uncertainty surrounding reversal is expected to last, our experience levels with similar types of contracts, our historical practices for similar contracts in similar circumstances, and the number and range of possible consideration amounts. The amount of variable consideration excluded from the transaction price for the years ended December 31, 2023, 2022, and 2021 was immaterial.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Allocating the Transaction Price Based on Standalone Selling Prices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allocate the transaction price to each performance obligation in a contract based on its relative standalone selling price, or SSP. The SSP is the observable price at which we sell the product or service separately. In the absence of observable pricing, we estimate SSP using the residual approach. We establish SSP as follows: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53670"/>
                <wp:effectExtent l="0" t="0" r="0" b="0"/>
                <wp:wrapNone/>
                <wp:docPr id="65" name="Frame6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1.Cloud subscriptions - Given the highly variable selling price of our could subscriptions, we establish the SSP of our cloud subscriptions using a residual approach after first determining the SSP of consulting and training services. </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2.On-premises term license subscriptions - Given the highly variable selling price of our term license subscriptions, we have established the SSP of term license subscriptions using a residual approach after first determining the SSP of maintenance and support. Maintenance and support is sold on a standalone basis with renewals of our legacy perpetual software licenses and within a narrow range of the net license fee, resulting in a defined economic relationship existing between the license and maintenance and support.</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3.Maintenance and support - We establish the SSP of maintenance and support as a percentage of the stated net subscription fee based on observable pricing of maintenance and support renewals from our legacy perpetual software licenses. </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4.Consulting services and training services - The SSP of consulting services and training services is established based on the observable pricing of standalone sales within each geographic region where the services are sold.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See Note 2 of our consolidated financial statements for information related to recently issued accounting standards.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7A. Quantitative and Qualitative Disclosures About Market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Interest Rate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had cash and cash equivalents of $149.4 million as of December 31, 2023, which consisted of investments in a money market fund, cash in readily available checking accounts, and overnight repurchase investments. These securities, which are not dependent on interest rate fluctuations that may cause principal amounts to fluctuate, are held for reinvestment and working capital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as of December 31, 2023, we held $9.7 million of fixed income securities such as U.S. treasury bonds, commercial paper, corporate bonds, agency bonds, and asset-backed securities. These securities are subject to market risk due to fluctuations in interest rates, which may affect our interest income and the fair value of our investments. We classify investments as available-for-sale, including those with stated maturities beyond 12 months. As such, no gains or losses due to changes in interest rates are recognized in our consolidated statements of operations unless such securities are sold prior to maturity or due to expected credit losses. A hypothetical 100 basis point change in interest rates would not have had a material effect on the fair market value of our investment portfolio as of December 31, 2023. To date, fluctuations in interest income have also not been significant. Our investments are made for the purpose of preserving capital, fulfilling liquidity needs, and maximizing total return. We do not enter into investments for trading or speculative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we had outstanding debt of $206.6 million, which carries interest as defined in our Credit Agreement. Refer to Note 8 of the consolidated financial statements in this 2023 Annual Report for additional details. We assessed our exposure to changes in interest rates by analyzing sensitivity to our operating results assuming various changes in market interest rates. A hypothetical increase of one percentage point in the interest rate as of December 31, 2023 would increase our interest expense by approximately $2.1 million annually.</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Inflation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exposed to market risks related to inflation in personnel costs, third-party service providers, subcontracting costs, professional fees, and general overhead expenses. Although inflation has decreased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53670"/>
                <wp:effectExtent l="0" t="0" r="0" b="0"/>
                <wp:wrapNone/>
                <wp:docPr id="66" name="Frame6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relative highs experienced in 2022, if inflation pressures increase in severity, we may not be able to fully offset such higher costs through price increases and productivity initiatives. While we do not believe inflation has had a material impact on our results of operations to date, a continued high rate of inflation in the future may have an adverse effect on our ability to maintain operating costs and adversely affect our gross profit margin.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Foreign Currency Exchange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portions of operating expenses are incurred outside the United States and are denominated in foreign currencies. An increase in the relative value of the U.S. dollar to other currencies will negatively affect revenue and other operating results as expressed in U.S. dollars. Based on a sensitivity analysis, a 10% change in the foreign currency exchange rates would have impacted our total revenue by approximately 4% and our operating loss by approximately 2%. This calculation assumes all currencies change in the same direction and proportion relative to the U.S. dollar.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53670"/>
                <wp:effectExtent l="0" t="0" r="0" b="0"/>
                <wp:wrapNone/>
                <wp:docPr id="67" name="Frame6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INDEX TO CONSOLIDATED FINANCIAL STATEMENTS</w:t>
      </w:r>
    </w:p>
    <w:p>
      <w:pPr>
        <w:pStyle w:val="TextBody"/>
        <w:bidi w:val="0"/>
        <w:spacing w:before="0" w:after="0"/>
        <w:jc w:val="center"/>
        <w:rPr/>
      </w:pPr>
      <w:r>
        <w:rPr/>
      </w:r>
    </w:p>
    <w:tbl>
      <w:tblPr>
        <w:tblW w:w="5790" w:type="dxa"/>
        <w:jc w:val="left"/>
        <w:tblInd w:w="0" w:type="dxa"/>
        <w:tblLayout w:type="fixed"/>
        <w:tblCellMar>
          <w:top w:w="28" w:type="dxa"/>
          <w:left w:w="28" w:type="dxa"/>
          <w:bottom w:w="28" w:type="dxa"/>
          <w:right w:w="28" w:type="dxa"/>
        </w:tblCellMar>
      </w:tblPr>
      <w:tblGrid>
        <w:gridCol w:w="1889"/>
        <w:gridCol w:w="1661"/>
        <w:gridCol w:w="1669"/>
        <w:gridCol w:w="167"/>
        <w:gridCol w:w="167"/>
        <w:gridCol w:w="237"/>
      </w:tblGrid>
      <w:tr>
        <w:trPr/>
        <w:tc>
          <w:tcPr>
            <w:tcW w:w="188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Consolidated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20"/>
              </w:rPr>
            </w:pPr>
            <w:r>
              <w:rPr>
                <w:rFonts w:ascii="Tahoma;sans-serif" w:hAnsi="Tahoma;sans-serif"/>
                <w:b/>
                <w:color w:val="000000"/>
                <w:sz w:val="20"/>
              </w:rPr>
              <w:t>Page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85">
              <w:r>
                <w:rPr>
                  <w:rStyle w:val="InternetLink"/>
                  <w:rFonts w:ascii="Tahoma;sans-serif" w:hAnsi="Tahoma;sans-serif"/>
                  <w:b w:val="false"/>
                  <w:color w:val="0000FF"/>
                  <w:sz w:val="20"/>
                  <w:u w:val="single"/>
                </w:rPr>
                <w:t>Report of Independent Registered Public Accounting Firm</w:t>
              </w:r>
            </w:hyperlink>
            <w:r>
              <w:rPr>
                <w:color w:val="000000"/>
              </w:rPr>
              <w:t xml:space="preserv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85">
              <w:r>
                <w:rPr>
                  <w:rStyle w:val="InternetLink"/>
                  <w:rFonts w:ascii="Tahoma;sans-serif" w:hAnsi="Tahoma;sans-serif"/>
                  <w:b w:val="false"/>
                  <w:color w:val="0000FF"/>
                  <w:sz w:val="20"/>
                  <w:u w:val="single"/>
                </w:rPr>
                <w:t>66</w:t>
              </w:r>
            </w:hyperlink>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91">
              <w:r>
                <w:rPr>
                  <w:rStyle w:val="InternetLink"/>
                  <w:rFonts w:ascii="Tahoma;sans-serif" w:hAnsi="Tahoma;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91">
              <w:r>
                <w:rPr>
                  <w:rStyle w:val="InternetLink"/>
                  <w:rFonts w:ascii="Tahoma;sans-serif" w:hAnsi="Tahoma;sans-serif"/>
                  <w:b w:val="false"/>
                  <w:color w:val="0000FF"/>
                  <w:sz w:val="20"/>
                  <w:u w:val="single"/>
                </w:rPr>
                <w:t>70</w:t>
              </w:r>
            </w:hyperlink>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94">
              <w:r>
                <w:rPr>
                  <w:rStyle w:val="InternetLink"/>
                  <w:rFonts w:ascii="Tahoma;sans-serif" w:hAnsi="Tahoma;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94">
              <w:r>
                <w:rPr>
                  <w:rStyle w:val="InternetLink"/>
                  <w:rFonts w:ascii="Tahoma;sans-serif" w:hAnsi="Tahoma;sans-serif"/>
                  <w:b w:val="false"/>
                  <w:color w:val="0000FF"/>
                  <w:sz w:val="20"/>
                  <w:u w:val="single"/>
                </w:rPr>
                <w:t>71</w:t>
              </w:r>
            </w:hyperlink>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97">
              <w:r>
                <w:rPr>
                  <w:rStyle w:val="InternetLink"/>
                  <w:rFonts w:ascii="Tahoma;sans-serif" w:hAnsi="Tahoma;sans-serif"/>
                  <w:b w:val="false"/>
                  <w:color w:val="0000FF"/>
                  <w:sz w:val="20"/>
                  <w:u w:val="single"/>
                </w:rPr>
                <w:t>Consolidated Statements of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97">
              <w:r>
                <w:rPr>
                  <w:rStyle w:val="InternetLink"/>
                  <w:rFonts w:ascii="Tahoma;sans-serif" w:hAnsi="Tahoma;sans-serif"/>
                  <w:b w:val="false"/>
                  <w:color w:val="0000FF"/>
                  <w:sz w:val="20"/>
                  <w:u w:val="single"/>
                </w:rPr>
                <w:t>72</w:t>
              </w:r>
            </w:hyperlink>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00">
              <w:r>
                <w:rPr>
                  <w:rStyle w:val="InternetLink"/>
                  <w:rFonts w:ascii="Tahoma;sans-serif" w:hAnsi="Tahoma;sans-serif"/>
                  <w:b w:val="false"/>
                  <w:color w:val="0000FF"/>
                  <w:sz w:val="20"/>
                  <w:u w:val="singl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00">
              <w:r>
                <w:rPr>
                  <w:rStyle w:val="InternetLink"/>
                  <w:rFonts w:ascii="Tahoma;sans-serif" w:hAnsi="Tahoma;sans-serif"/>
                  <w:b w:val="false"/>
                  <w:color w:val="0000FF"/>
                  <w:sz w:val="20"/>
                  <w:u w:val="single"/>
                </w:rPr>
                <w:t>73</w:t>
              </w:r>
            </w:hyperlink>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03">
              <w:r>
                <w:rPr>
                  <w:rStyle w:val="InternetLink"/>
                  <w:rFonts w:ascii="Tahoma;sans-serif" w:hAnsi="Tahoma;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03">
              <w:r>
                <w:rPr>
                  <w:rStyle w:val="InternetLink"/>
                  <w:rFonts w:ascii="Tahoma;sans-serif" w:hAnsi="Tahoma;sans-serif"/>
                  <w:b w:val="false"/>
                  <w:color w:val="0000FF"/>
                  <w:sz w:val="20"/>
                  <w:u w:val="single"/>
                </w:rPr>
                <w:t>74</w:t>
              </w:r>
            </w:hyperlink>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6100a49c34fdf8937706c1bd49b5f_106">
              <w:r>
                <w:rPr>
                  <w:rStyle w:val="InternetLink"/>
                  <w:rFonts w:ascii="Tahoma;sans-serif" w:hAnsi="Tahoma;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6100a49c34fdf8937706c1bd49b5f_106">
              <w:r>
                <w:rPr>
                  <w:rStyle w:val="InternetLink"/>
                  <w:rFonts w:ascii="Tahoma;sans-serif" w:hAnsi="Tahoma;sans-serif"/>
                  <w:b w:val="false"/>
                  <w:color w:val="0000FF"/>
                  <w:sz w:val="20"/>
                  <w:u w:val="single"/>
                </w:rPr>
                <w:t>75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53670"/>
                <wp:effectExtent l="0" t="0" r="0" b="0"/>
                <wp:wrapNone/>
                <wp:docPr id="68" name="Frame6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Shareholders and Board of Directors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Corporation</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Opinion on the Consolidated Financial Statements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have audited the accompanying consolidated balance sheets of Appian Corporation (the “Company”) as of December 31, 2023 and 2022, the related consolidated statements of operations, comprehensive loss,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ahoma;sans-serif" w:hAnsi="Tahoma;sans-serif"/>
          <w:b w:val="false"/>
          <w:i/>
          <w:color w:val="000000"/>
          <w:sz w:val="20"/>
        </w:rPr>
        <w:t>Internal Control – Integrated Framework (2013)</w:t>
      </w:r>
      <w:r>
        <w:rPr>
          <w:color w:val="000000"/>
        </w:rPr>
        <w:t xml:space="preserve"> </w:t>
      </w:r>
      <w:r>
        <w:rPr>
          <w:rFonts w:ascii="Tahoma;sans-serif" w:hAnsi="Tahoma;sans-serif"/>
          <w:b w:val="false"/>
          <w:color w:val="000000"/>
          <w:sz w:val="20"/>
        </w:rPr>
        <w:t>issued by the Committee of Sponsoring Organizations of the Treadway Commission (“COSO”) and our report dated February 15, 2024 expressed an unqualified opinion thereon.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Critical Audit Matter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53670"/>
                <wp:effectExtent l="0" t="0" r="0" b="0"/>
                <wp:wrapNone/>
                <wp:docPr id="69" name="Frame6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Revenue Recognition for Multiple Performance Obligations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As discussed in Note 3 to the consolidated financial statements, certain of the Company's revenue contracts contain multiple performance obligations that might include cloud subscriptions, term license subscriptions, maintenance and support and professional services. The Company accounts for individual products and services separately if they are capable of being distinct and are distinct within the context of the contract. In such cases, the transaction price is allocated to the distinct performance obligations based on their relative standalone selling price or residual approach and revenue is recognized when control of the distinct performance obligation is transferred.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We identified the revenue recognition for certain revenue contracts as a critical audit matter due to the significant management judgment involved in the identification of distinct performance obligations and the allocation of the transaction price to each performance obligation based on its relative standalone selling price. Auditing these elements of revenue recognition involved especially challenging auditor judgment due to the nature and extent of audit effort required to address these matters.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The primary procedures we performed to address this critical audit matter included: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 xml:space="preserve">Testing the design and operating effectiveness of internal controls over the Company's revenue recognition process including controls over: (i) the identification of distinct performance obligations, and (ii) the allocation of the transaction price to each performance obligation based on its relative standalone selling price.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Testing a sample of revenue contracts to evaluate management’s identification of distinct performance obligations.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Testing a sample of revenue contracts to evaluate management’s allocation of the transaction price to each performance obligation based on its relative standalone selling price.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have served as the Company's auditor since 2013.</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February 15,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53670"/>
                <wp:effectExtent l="0" t="0" r="0" b="0"/>
                <wp:wrapNone/>
                <wp:docPr id="70" name="Frame6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Shareholders and Board of Directors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Corporation</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 xml:space="preserve">We have audited Appian Corporation’s (the “Company’s”) internal control over financial reporting as of December 31, 2023, based on criteria established in </w:t>
      </w:r>
      <w:r>
        <w:rPr>
          <w:rFonts w:ascii="Tahoma;sans-serif" w:hAnsi="Tahoma;sans-serif"/>
          <w:b w:val="false"/>
          <w:i/>
          <w:color w:val="000000"/>
          <w:sz w:val="20"/>
        </w:rPr>
        <w:t>Internal Control – Integrated Framework (2013)</w:t>
      </w:r>
      <w:r>
        <w:rPr>
          <w:color w:val="000000"/>
        </w:rPr>
        <w:t xml:space="preserve"> </w:t>
      </w:r>
      <w:r>
        <w:rPr>
          <w:rFonts w:ascii="Tahoma;sans-serif" w:hAnsi="Tahoma;sans-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2023, based on the COSO criteria</w:t>
      </w:r>
      <w:r>
        <w:rPr>
          <w:rFonts w:ascii="Tahoma;sans-serif" w:hAnsi="Tahoma;sans-serif"/>
          <w:b w:val="false"/>
          <w:i/>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loss, changes in stockholders’ equity, and cash flows for each of the three years in the period ended December 31, 2023, and the related notes and our report dated February 15, 2024 expressed an unqualified opinion thereon.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53670"/>
                <wp:effectExtent l="0" t="0" r="0" b="0"/>
                <wp:wrapNone/>
                <wp:docPr id="71" name="Frame6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McLean, Virginia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February 15,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53670"/>
                <wp:effectExtent l="0" t="0" r="0" b="0"/>
                <wp:wrapNone/>
                <wp:docPr id="72" name="Frame6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BALANCE SHEETS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58"/>
        <w:gridCol w:w="2505"/>
        <w:gridCol w:w="2496"/>
        <w:gridCol w:w="181"/>
        <w:gridCol w:w="646"/>
        <w:gridCol w:w="109"/>
        <w:gridCol w:w="109"/>
        <w:gridCol w:w="109"/>
        <w:gridCol w:w="109"/>
        <w:gridCol w:w="181"/>
        <w:gridCol w:w="646"/>
        <w:gridCol w:w="156"/>
      </w:tblGrid>
      <w:tr>
        <w:trPr/>
        <w:tc>
          <w:tcPr>
            <w:tcW w:w="2958"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As of December 31,</w:t>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2022</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148,132 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Short-term investments and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Accounts receivable, net of allowance of $2,606 and $2,125,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165,964 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Deferred commissions,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30,196 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28,093 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Restricted cash,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Total current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422,497 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Property and equipment, net of accumulated depreciation of $25,141 and $18,864,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26,349 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Intangible assets, net of accumulated amortization of $4,152 and $2,715,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Right-of-use assets for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37,248 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Deferred commissions, net of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59,764 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55,788 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Deferred tax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627,503 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594,214 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Liabilities and Stockholders’ Equity</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Current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Accrued compensation and related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194,768 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Total 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371,172 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270,252 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115,379 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Non-current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57,225 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Deferred revenue,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Deferred tax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575,162 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448,514 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4"/>
              </w:rPr>
            </w:pPr>
            <w:r>
              <w:rPr>
                <w:rFonts w:ascii="Tahoma;sans-serif" w:hAnsi="Tahoma;sans-serif"/>
                <w:b/>
                <w:color w:val="000000"/>
                <w:sz w:val="14"/>
              </w:rPr>
              <w:t xml:space="preserve">Commitments and contingent liabilities (see Note 13)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Stockholders’ equity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Class A common stock—par value $0.0001; 500,000,000 shares authorized as of December 31, 2023 and 2022 and 42,169,970 and 41,320,091 shares issued and outstanding as of December 31, 2023 and 2022,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Class B common stock—par value $0.0001; 100,000,000 shares authorized as of December 31, 2023 and 2022 and 31,196,796 and 31,497,796 shares issued and outstanding as of December 31, 2023 and 2022,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595,781 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561,390 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Accumulated 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(7,246)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Accumulated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(519,892)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(408,451)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Total stockholders’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52,341 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145,700 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Total liabilities and stockholders’ equity</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627,503 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594,214 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3"/>
        </w:rPr>
      </w:pPr>
      <w:r>
        <w:rPr>
          <w:rFonts w:ascii="Tahoma;sans-serif" w:hAnsi="Tahoma;sans-serif"/>
          <w:b w:val="false"/>
          <w:i/>
          <w:color w:val="000000"/>
          <w:sz w:val="13"/>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53670"/>
                <wp:effectExtent l="0" t="0" r="0" b="0"/>
                <wp:wrapNone/>
                <wp:docPr id="73" name="Frame7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OPERATIONS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per share data)</w:t>
      </w:r>
    </w:p>
    <w:p>
      <w:pPr>
        <w:pStyle w:val="TextBody"/>
        <w:bidi w:val="0"/>
        <w:spacing w:before="0" w:after="0"/>
        <w:jc w:val="center"/>
        <w:rPr/>
      </w:pPr>
      <w:r>
        <w:rPr/>
      </w:r>
    </w:p>
    <w:tbl>
      <w:tblPr>
        <w:tblW w:w="8366" w:type="dxa"/>
        <w:jc w:val="center"/>
        <w:tblInd w:w="0" w:type="dxa"/>
        <w:tblLayout w:type="fixed"/>
        <w:tblCellMar>
          <w:top w:w="28" w:type="dxa"/>
          <w:left w:w="28" w:type="dxa"/>
          <w:bottom w:w="28" w:type="dxa"/>
          <w:right w:w="28" w:type="dxa"/>
        </w:tblCellMar>
      </w:tblPr>
      <w:tblGrid>
        <w:gridCol w:w="1430"/>
        <w:gridCol w:w="1257"/>
        <w:gridCol w:w="1272"/>
        <w:gridCol w:w="211"/>
        <w:gridCol w:w="946"/>
        <w:gridCol w:w="109"/>
        <w:gridCol w:w="109"/>
        <w:gridCol w:w="109"/>
        <w:gridCol w:w="109"/>
        <w:gridCol w:w="211"/>
        <w:gridCol w:w="946"/>
        <w:gridCol w:w="109"/>
        <w:gridCol w:w="109"/>
        <w:gridCol w:w="109"/>
        <w:gridCol w:w="109"/>
        <w:gridCol w:w="211"/>
        <w:gridCol w:w="85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369,259 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76,763 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104,093 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334,685 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265,166 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510,014 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479,695 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349,073 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Operating loss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(145,010)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(83,907)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Loss before income taxes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(87,863)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 per share:</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common shares outstanding:</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Basic and diluted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53670"/>
                <wp:effectExtent l="0" t="0" r="0" b="0"/>
                <wp:wrapNone/>
                <wp:docPr id="74" name="Frame7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COMPREHENSIVE LOSS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w:t>
      </w:r>
    </w:p>
    <w:p>
      <w:pPr>
        <w:pStyle w:val="TextBody"/>
        <w:bidi w:val="0"/>
        <w:spacing w:before="0" w:after="0"/>
        <w:jc w:val="center"/>
        <w:rPr/>
      </w:pPr>
      <w:r>
        <w:rPr/>
      </w:r>
    </w:p>
    <w:tbl>
      <w:tblPr>
        <w:tblW w:w="8727" w:type="dxa"/>
        <w:jc w:val="center"/>
        <w:tblInd w:w="0" w:type="dxa"/>
        <w:tblLayout w:type="fixed"/>
        <w:tblCellMar>
          <w:top w:w="28" w:type="dxa"/>
          <w:left w:w="28" w:type="dxa"/>
          <w:bottom w:w="28" w:type="dxa"/>
          <w:right w:w="28" w:type="dxa"/>
        </w:tblCellMar>
      </w:tblPr>
      <w:tblGrid>
        <w:gridCol w:w="1564"/>
        <w:gridCol w:w="1379"/>
        <w:gridCol w:w="1392"/>
        <w:gridCol w:w="211"/>
        <w:gridCol w:w="946"/>
        <w:gridCol w:w="109"/>
        <w:gridCol w:w="109"/>
        <w:gridCol w:w="109"/>
        <w:gridCol w:w="109"/>
        <w:gridCol w:w="211"/>
        <w:gridCol w:w="946"/>
        <w:gridCol w:w="109"/>
        <w:gridCol w:w="109"/>
        <w:gridCol w:w="109"/>
        <w:gridCol w:w="109"/>
        <w:gridCol w:w="211"/>
        <w:gridCol w:w="841"/>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Comprehensive loss, net of income taxes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Unrealized gain on available-for-sale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Total other comprehensive loss, net of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(89,318)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53670"/>
                <wp:effectExtent l="0" t="0" r="0" b="0"/>
                <wp:wrapNone/>
                <wp:docPr id="75" name="Frame7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CHANGES IN STOCKHOLDERS' EQUITY</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1"/>
        <w:gridCol w:w="391"/>
        <w:gridCol w:w="394"/>
        <w:gridCol w:w="480"/>
        <w:gridCol w:w="481"/>
        <w:gridCol w:w="201"/>
        <w:gridCol w:w="109"/>
        <w:gridCol w:w="109"/>
        <w:gridCol w:w="109"/>
        <w:gridCol w:w="242"/>
        <w:gridCol w:w="298"/>
        <w:gridCol w:w="136"/>
        <w:gridCol w:w="109"/>
        <w:gridCol w:w="109"/>
        <w:gridCol w:w="109"/>
        <w:gridCol w:w="228"/>
        <w:gridCol w:w="859"/>
        <w:gridCol w:w="127"/>
        <w:gridCol w:w="109"/>
        <w:gridCol w:w="109"/>
        <w:gridCol w:w="109"/>
        <w:gridCol w:w="315"/>
        <w:gridCol w:w="1068"/>
        <w:gridCol w:w="177"/>
        <w:gridCol w:w="109"/>
        <w:gridCol w:w="109"/>
        <w:gridCol w:w="109"/>
        <w:gridCol w:w="210"/>
        <w:gridCol w:w="822"/>
        <w:gridCol w:w="117"/>
        <w:gridCol w:w="109"/>
        <w:gridCol w:w="109"/>
        <w:gridCol w:w="109"/>
        <w:gridCol w:w="229"/>
        <w:gridCol w:w="864"/>
        <w:gridCol w:w="190"/>
      </w:tblGrid>
      <w:tr>
        <w:trPr/>
        <w:tc>
          <w:tcPr>
            <w:tcW w:w="7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Total Stockholders' Equity</w:t>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70,679,190 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470,498 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(5,010)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(168,890)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296,605 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(88,641)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(88,641)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354,130 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423,824 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2,786 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2,786 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23,844 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23,844 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(677)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(677)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2021</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71,462,094 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497,128 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(5,687)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(257,531)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233,917 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(150,920)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(150,920)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14,928 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403,648 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937,217 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25,432 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25,432 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38,830 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72,817,887 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561,390 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(7,246)</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(408,451)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145,700 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19,687 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430,582 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(9,748)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(9,748)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98,610 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(16,309)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(16,309)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73,366,766 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595,781 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(23,555)</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(519,892)</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52,341 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53670"/>
                <wp:effectExtent l="0" t="0" r="0" b="0"/>
                <wp:wrapNone/>
                <wp:docPr id="76" name="Frame7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APPIAN CORPORATION</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CONSOLIDATED STATEMENTS OF CASH FLOWS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w:t>
      </w:r>
    </w:p>
    <w:p>
      <w:pPr>
        <w:pStyle w:val="TextBody"/>
        <w:bidi w:val="0"/>
        <w:spacing w:before="0" w:after="0"/>
        <w:jc w:val="center"/>
        <w:rPr/>
      </w:pPr>
      <w:r>
        <w:rPr/>
      </w:r>
    </w:p>
    <w:tbl>
      <w:tblPr>
        <w:tblW w:w="9491" w:type="dxa"/>
        <w:jc w:val="center"/>
        <w:tblInd w:w="0" w:type="dxa"/>
        <w:tblLayout w:type="fixed"/>
        <w:tblCellMar>
          <w:top w:w="28" w:type="dxa"/>
          <w:left w:w="28" w:type="dxa"/>
          <w:bottom w:w="28" w:type="dxa"/>
          <w:right w:w="28" w:type="dxa"/>
        </w:tblCellMar>
      </w:tblPr>
      <w:tblGrid>
        <w:gridCol w:w="2113"/>
        <w:gridCol w:w="1857"/>
        <w:gridCol w:w="1864"/>
        <w:gridCol w:w="181"/>
        <w:gridCol w:w="721"/>
        <w:gridCol w:w="109"/>
        <w:gridCol w:w="109"/>
        <w:gridCol w:w="109"/>
        <w:gridCol w:w="109"/>
        <w:gridCol w:w="181"/>
        <w:gridCol w:w="721"/>
        <w:gridCol w:w="109"/>
        <w:gridCol w:w="109"/>
        <w:gridCol w:w="109"/>
        <w:gridCol w:w="109"/>
        <w:gridCol w:w="181"/>
        <w:gridCol w:w="646"/>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Year Ended December 31,</w:t>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2021</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(88,641)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Adjustments to reconcile net loss to net cash used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Depreciation expense and amortization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Bad debt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Amortization of debt issuance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Loss on disposal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Foreign currency transaction gains,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Changes in assets and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(33,904)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Prepaid expenses and 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(54,753)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(21,588)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payable and accrued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compensation and related benefits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current and 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33,378 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Operating lease assets and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Net cash used by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(110,442)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(106,551)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(53,918)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investing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Proceeds from maturities of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120,593 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Purchases of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Purchases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Payments for acquisitions, net of cash acquired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(30,729)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cash provided by investing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financing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Proceeds from borrowings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Payments for debt issuance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Debt repayments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Payments for employee taxes related to the net share settlement of equity awards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Proceeds from exercise of common stock options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cash provided by financing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79,165 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Effect of foreign exchange rate changes on cash, cash equivalents, and 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(decrease) increase in cash, cash equivalents, and restricted cash</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(8,502)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cash equivalents, and restricted cash at beginning of period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112,462 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cash equivalents, and restricted cash at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103,960 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Supplemental cash flow information: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Supplemental non-cash investing and financing information:</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capital expenditures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ahoma;sans-serif" w:hAnsi="Tahoma;sans-serif"/>
          <w:b w:val="false"/>
          <w:i/>
          <w:color w:val="000000"/>
          <w:sz w:val="13"/>
        </w:rPr>
      </w:pPr>
      <w:r>
        <w:rPr>
          <w:rFonts w:ascii="Tahoma;sans-serif" w:hAnsi="Tahoma;sans-serif"/>
          <w:b w:val="false"/>
          <w:i/>
          <w:color w:val="000000"/>
          <w:sz w:val="13"/>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53670"/>
                <wp:effectExtent l="0" t="0" r="0" b="0"/>
                <wp:wrapNone/>
                <wp:docPr id="77" name="Frame7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NOTES TO 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 Organization and Description of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Corporation (together with its subsidiaries, “Appian,” the “Company,” “we,” or “our”) is a software company that automates business processes. The Appian AI Process Platform includes everything you need to design, automate, and optimize even the most complex processes from start to finish. The world's most innovative organizations trust Appian to improve their workflows, unify data, and optimize operations—resulting in better growth and superior customer experiences.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headquartered in McLean, Virginia and operate both in the U.S. and internationally including Australia, Canada, France, Germany, India, Italy, Japan, Mexico, the Netherlands, Portugal, Singapore, Spain, Sweden, Switzerland, and the United Kingdom.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2.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accompanying consolidated financial statements and footnotes have been prepared in accordance with accounting principles generally accepted in the United States (“U.S. GAAP”) as contained in the Financial Accounting Standards Board (“FASB”) Accounting Standards Codification (“ASC”). The accompanying consolidated financial statements include the accounts of Appian and its wholly-owned subsidiaries. All intercompany accounts and transactions have been eliminated in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 of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preparation of our consolidated financial statements in conformity with U.S. GAAP requires us to make estimates and judgments that affect the amounts reported in these consolidated financial statements and accompanying notes. Although we believe the estimates we use are reasonable, due to the inherent uncertainty involved in making these estimates, actual results reported in future periods could differ from those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Significant estimates embedded in the consolidated financial statements include, but are not limited to, revenue recognition, income taxes and the related valuation allowance established against deferred tax assets, the amortization of deferred commissions, the amortization period of the cost to obtain the judgment preservation insurance (as discussed in Note 13), and 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Segment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Operating segments are defined as components of an enterprise for which discrete financial information is available that is evaluated regularly by the chief operating decision maker (“CODM”) for purposes of allocating resources and evaluating financial performance. We have determined our CODM is our Chief Executive Officer.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operate one operating and reportable segment, representing our consolidated business that helps organizations build applications and workflows rapidly with our low-code platform to maximize their resources and improve business results. Our reportable segment determination is based on our management and internal reporting structure, the nature of the subscriptions and services we offer, and the financial information evaluated regularly by our CODM.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 Recognition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Refer to Note 3 for a detailed discussion on specific revenue recognition principles related to our major revenue streams.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53670"/>
                <wp:effectExtent l="0" t="0" r="0" b="0"/>
                <wp:wrapNone/>
                <wp:docPr id="78" name="Frame7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Concentration of Credit and Customer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financial instruments exposed to concentration of credit and customer risk consist primarily of cash, cash equivalents, accounts receivable, and our short- and long-term investments. Deposits held with banks may exceed the amount of insurance provided on such deposits; however, we believe the financial institutions holding our cash deposits are financially sound and, accordingly, minimal credit risk exists with respect to these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With regard to our customers, credit evaluation and account monitoring procedures are used to minimize the risk of loss. Revenue generated from government agencies represented 21.3%, 19.2%, and 19.6% of our revenue for the years ended December 31, 2023, 2022, and 2021, respectively, of which the top three U.S. federal government agencies generated 4.2%, 4.5%, and 5.6% of our revenue for the years ended December 31, 2023, 2022, and 2021, respectively. Additionally, 35.8%, 33.5%, and 34.0% of our revenue during the years ended December 31, 2023, 2022, and 2021, respectively, was generated from international customers. No single customer accounted for more than 10% of our total revenue during the years ended December 31, 2023, 2022, and 2021. As of December 31, 2023, we had one customer whose balance comprised 12.1% of total accounts receivable.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Cash, Cash Equivalents, and Restricted Cash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consider all highly liquid investments with original maturities of three months or less, as well as overnight repurchase agreements, to be cash equivalents. Restricted cash consisted of cash designated to settle an escrow liability stemming from a holdback agreement related to our acquisition of Lana Labs GmbH. We paid the remaining amount owed in August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presents a reconciliation of cash, cash equivalents, and restricted cash as presented in the consolidated statements of cash flows (in thousands):</w:t>
      </w:r>
    </w:p>
    <w:p>
      <w:pPr>
        <w:pStyle w:val="TextBody"/>
        <w:bidi w:val="0"/>
        <w:spacing w:before="0" w:after="0"/>
        <w:ind w:left="0" w:right="0" w:firstLine="360"/>
        <w:jc w:val="left"/>
        <w:rPr/>
      </w:pPr>
      <w:r>
        <w:rPr/>
      </w:r>
    </w:p>
    <w:tbl>
      <w:tblPr>
        <w:tblW w:w="8247" w:type="dxa"/>
        <w:jc w:val="left"/>
        <w:tblInd w:w="0" w:type="dxa"/>
        <w:tblLayout w:type="fixed"/>
        <w:tblCellMar>
          <w:top w:w="28" w:type="dxa"/>
          <w:left w:w="28" w:type="dxa"/>
          <w:bottom w:w="28" w:type="dxa"/>
          <w:right w:w="28" w:type="dxa"/>
        </w:tblCellMar>
      </w:tblPr>
      <w:tblGrid>
        <w:gridCol w:w="1458"/>
        <w:gridCol w:w="1279"/>
        <w:gridCol w:w="1283"/>
        <w:gridCol w:w="211"/>
        <w:gridCol w:w="856"/>
        <w:gridCol w:w="109"/>
        <w:gridCol w:w="109"/>
        <w:gridCol w:w="109"/>
        <w:gridCol w:w="109"/>
        <w:gridCol w:w="211"/>
        <w:gridCol w:w="856"/>
        <w:gridCol w:w="109"/>
        <w:gridCol w:w="109"/>
        <w:gridCol w:w="109"/>
        <w:gridCol w:w="109"/>
        <w:gridCol w:w="211"/>
        <w:gridCol w:w="856"/>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Restricted cash,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Restricted cash,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103,960 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Accounts Receivable and Allowance for Doubtful Accounts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Accounts receivable are stated at realizable value, net of an allowance for doubtful accounts. The allowance for doubtful accounts is based on our assessment of the collectability of accounts and incorporates an estimation of expected lifetime credit losses on our receivables. We regularly review the composition of the accounts receivable aging, historical bad debts, changes in payment patterns, customer creditworthiness, and current economic trends. If the financial condition of our customers were to deteriorate, resulting in their inability to make required payments, additional provisions for doubtful accounts would be required and would increase bad debt expense.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Activity in the allowance for doubtful accounts was as follows (in thousands):</w:t>
      </w:r>
    </w:p>
    <w:p>
      <w:pPr>
        <w:pStyle w:val="TextBody"/>
        <w:bidi w:val="0"/>
        <w:spacing w:before="0" w:after="0"/>
        <w:jc w:val="left"/>
        <w:rPr/>
      </w:pPr>
      <w:r>
        <w:rPr/>
      </w:r>
    </w:p>
    <w:tbl>
      <w:tblPr>
        <w:tblW w:w="7077" w:type="dxa"/>
        <w:jc w:val="left"/>
        <w:tblInd w:w="0" w:type="dxa"/>
        <w:tblLayout w:type="fixed"/>
        <w:tblCellMar>
          <w:top w:w="28" w:type="dxa"/>
          <w:left w:w="28" w:type="dxa"/>
          <w:bottom w:w="28" w:type="dxa"/>
          <w:right w:w="28" w:type="dxa"/>
        </w:tblCellMar>
      </w:tblPr>
      <w:tblGrid>
        <w:gridCol w:w="1260"/>
        <w:gridCol w:w="1106"/>
        <w:gridCol w:w="1114"/>
        <w:gridCol w:w="211"/>
        <w:gridCol w:w="646"/>
        <w:gridCol w:w="109"/>
        <w:gridCol w:w="109"/>
        <w:gridCol w:w="109"/>
        <w:gridCol w:w="109"/>
        <w:gridCol w:w="211"/>
        <w:gridCol w:w="646"/>
        <w:gridCol w:w="109"/>
        <w:gridCol w:w="109"/>
        <w:gridCol w:w="109"/>
        <w:gridCol w:w="109"/>
        <w:gridCol w:w="211"/>
        <w:gridCol w:w="64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Additions: Charged to costs and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Deductions: Write-offs, net of recoveries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53670"/>
                <wp:effectExtent l="0" t="0" r="0" b="0"/>
                <wp:wrapNone/>
                <wp:docPr id="79" name="Frame7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76</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Deferred Commissions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capitalize costs of obtaining a contract with a customer, which consist of sales commissions paid to our sales team, and the associated incremental payroll taxes. These costs are recorded as deferred commissions in the consolidated balance sheets. Costs to obtain a contract for a new customer or upsell an existing customer are amortized over an estimated economic life of five years as sales commissions on initial sales are not commensurate with sales commissions on contract renewals. Commissions paid relating to contract renewals are deferred and amortized over the related renewal period. We determine the estimated economic life based on both qualitative and quantitative factors such as expected renewals, product life cycles, contractual terms, and customer attrition. We periodically review the carrying amount of deferred contract acquisition costs to determine whether events or changes in circumstances have occurred that could impact the estimated economic life. Costs to obtain a contract for professional services arrangements are expensed as incurred as the contractual period of our professional services arrangements are one year or less.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Amortization associated with deferred commissions is recorded to sales and marketing expense in our consolidated statements of operations. The following table summarizes the activity of costs to obtain a contract with a customer for the years ended December 31, 2023, and 2022 (in thousands):</w:t>
      </w:r>
    </w:p>
    <w:p>
      <w:pPr>
        <w:pStyle w:val="TextBody"/>
        <w:bidi w:val="0"/>
        <w:spacing w:before="0" w:after="0"/>
        <w:jc w:val="left"/>
        <w:rPr/>
      </w:pPr>
      <w:r>
        <w:rPr/>
      </w:r>
    </w:p>
    <w:tbl>
      <w:tblPr>
        <w:tblW w:w="5768" w:type="dxa"/>
        <w:jc w:val="left"/>
        <w:tblInd w:w="0" w:type="dxa"/>
        <w:tblLayout w:type="fixed"/>
        <w:tblCellMar>
          <w:top w:w="28" w:type="dxa"/>
          <w:left w:w="28" w:type="dxa"/>
          <w:bottom w:w="28" w:type="dxa"/>
          <w:right w:w="28" w:type="dxa"/>
        </w:tblCellMar>
      </w:tblPr>
      <w:tblGrid>
        <w:gridCol w:w="1178"/>
        <w:gridCol w:w="1034"/>
        <w:gridCol w:w="1042"/>
        <w:gridCol w:w="211"/>
        <w:gridCol w:w="751"/>
        <w:gridCol w:w="109"/>
        <w:gridCol w:w="109"/>
        <w:gridCol w:w="109"/>
        <w:gridCol w:w="109"/>
        <w:gridCol w:w="211"/>
        <w:gridCol w:w="75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Additional contract costs deferred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Amortization of deferred contract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85,984 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Commission expense was $46.8 million, $39.4 million, and $32.4 million for the years ended December 31, 2023, 2022, and 2021,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Property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are stated at cost less accumulated depreciation. Depreciation is computed using the straight-line method over the estimated useful lives of the assets. Significant additions or improvements extending the useful life of an asset are capitalized, while repairs and maintenance costs which do not significantly improve the related assets or extend their useful lives are charged to expense as incurred.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outlines the useful lives of our major asset categories (in years):</w:t>
      </w:r>
    </w:p>
    <w:tbl>
      <w:tblPr>
        <w:tblW w:w="3717" w:type="dxa"/>
        <w:jc w:val="left"/>
        <w:tblInd w:w="0" w:type="dxa"/>
        <w:tblLayout w:type="fixed"/>
        <w:tblCellMar>
          <w:top w:w="28" w:type="dxa"/>
          <w:left w:w="28" w:type="dxa"/>
          <w:bottom w:w="28" w:type="dxa"/>
          <w:right w:w="28" w:type="dxa"/>
        </w:tblCellMar>
      </w:tblPr>
      <w:tblGrid>
        <w:gridCol w:w="847"/>
        <w:gridCol w:w="746"/>
        <w:gridCol w:w="747"/>
        <w:gridCol w:w="109"/>
        <w:gridCol w:w="109"/>
        <w:gridCol w:w="109"/>
        <w:gridCol w:w="307"/>
        <w:gridCol w:w="307"/>
        <w:gridCol w:w="436"/>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 xml:space="preserve">Useful Life </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Computer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Computer hardware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Office 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ahoma;sans-serif" w:hAnsi="Tahoma;sans-serif"/>
                <w:b w:val="false"/>
                <w:color w:val="000000"/>
                <w:sz w:val="18"/>
              </w:rPr>
            </w:pPr>
            <w:r>
              <w:rPr>
                <w:rFonts w:ascii="Tahoma;sans-serif" w:hAnsi="Tahoma;sans-serif"/>
                <w:b w:val="false"/>
                <w:color w:val="000000"/>
                <w:sz w:val="18"/>
              </w:rPr>
              <w:t>(a)</w:t>
            </w:r>
          </w:p>
        </w:tc>
      </w:tr>
    </w:tbl>
    <w:p>
      <w:pPr>
        <w:pStyle w:val="TextBody"/>
        <w:bidi w:val="0"/>
        <w:spacing w:lineRule="auto" w:line="288" w:before="0" w:after="0"/>
        <w:jc w:val="left"/>
        <w:rPr/>
      </w:pPr>
      <w:r>
        <w:rPr>
          <w:rFonts w:ascii="Tahoma;sans-serif" w:hAnsi="Tahoma;sans-serif"/>
          <w:b w:val="false"/>
          <w:color w:val="000000"/>
          <w:sz w:val="10"/>
        </w:rPr>
        <w:t>(a)</w:t>
      </w:r>
      <w:r>
        <w:rPr>
          <w:color w:val="000000"/>
        </w:rPr>
        <w:t xml:space="preserve"> </w:t>
      </w:r>
      <w:r>
        <w:rPr>
          <w:rFonts w:ascii="Tahoma;sans-serif" w:hAnsi="Tahoma;sans-serif"/>
          <w:b w:val="false"/>
          <w:color w:val="000000"/>
          <w:sz w:val="16"/>
        </w:rPr>
        <w:t>Leasehold improvements have an estimated useful life of the shorter of the useful life of the assets or the lease 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Impairment of Long-Lived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Long-lived tangible assets and intangible assets with definite useful lives are reviewed for impairment whenever events or changes in circumstances indicate the carrying amount of an asset may not be recoverable through undiscounted cash flows from the use of the assets. If such assets are considered to be impaired, the assets are written down to their estimated fair value.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53670"/>
                <wp:effectExtent l="0" t="0" r="0" b="0"/>
                <wp:wrapNone/>
                <wp:docPr id="80" name="Frame7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Goodwill is accounted for at the segment level and allocated to, and tested for impairment at, a level referred to as the reporting unit. We have determined our one segment consists of a single reporting unit. We test for impairment annually on the first day of the fourth quarter or between annual tests if events or changes in circumstances indicate the fair value of our reporting unit may be below its carrying amount. We have the option to qualitatively assess whether it is more likely than not the fair value our reporting unit is less than its carrying value. If we elect to perform a qualitative assessment and conclude it is more likely than not the fair value of the reporting unit is equal to or greater than its carrying value, no further assessment of that reporting unit’s goodwill is necessary; otherwise, goodwill must be tested for impairment. In 2023 and 2022, we elected to not perform the optional qualitative assessment of goodwill and instead performed the quantitative impairment test.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When performing the quantitative test, we determine the fair value of the reporting unit and compare it to the carrying amount, including goodwill. If the carrying amount of the reporting unit exceeds the fair value of the reporting unit, the reporting unit’s goodwill is impaired, and we must recognize an impairment loss for the difference between the carrying amount and the fair value of the reporting unit. We estimate the fair value of our reporting unit using a market-based valuation methodology, which is primarily based on our consolidated market capitalization.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the fourth quarter of 2023 and 2022, we completed our annual goodwill impairment test for our reporting unit, and the results of the test indicated the estimated fair value of our reporting unit significantly exceeded the carrying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Compensation expense related to stock-based awards is calculated by determining the estimated fair value of the award on the grant date. We calculate the fair value of stock options containing only a service condition using the Black-Scholes option pricing model. The fair value of restricted stock units (“RSUs”) is based on the closing market price of our common stock on the Nasdaq Global Market on the date of grant. For service-based awards such as RSUs, stock-based compensation expense is recognized on a straight-line basis over the requisite service period. For awards that contain market conditions, compensation expense is measured using a Monte Carlo simulation and is recognized using the accelerated attribution method over the derived service period based on the expected market performance as of the grant date. We account for forfeitures as they occur rather than estimating expected forfeitures.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combine lease and non-lease components and account for them as a single lease component for our facility leases. The discount rates related to our lease liabilities are based on estimates of our incremental borrowing rate on a secured basis, as the discount rates implicit in our lease agreements cannot be readily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Basic and Diluted Loss per Common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compute net loss per common share using the two-class method required for multiple classes of common stock and participating securities. The rights, including the liquidation and dividend rights, of the Class A common stock and Class B common stock are substantially identical, other than voting and conversion rights. Accordingly, the Class A common stock and Class B common stock share equally in our net losses.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Basic net loss per common share is computed by dividing net loss by the weighted-average number of shares of common shares outstanding during the period. Diluted net loss per common share is computed similar to basic, except the weighted average number of common shares outstanding is increased to include additional outstanding shares from the assumed exercise of stock options and vesting of RSUs, if dilutive. The dilutive effect, if any, of convertible shares is calculated using the treasury stock method. As we reported net losses for all periods presented, all outstanding shares would be considered antidilutive if they were assumed to be vested or exercised.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53670"/>
                <wp:effectExtent l="0" t="0" r="0" b="0"/>
                <wp:wrapNone/>
                <wp:docPr id="81" name="Frame7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use the asset and liability method of accounting for income taxes in which deferred tax assets and liabilities are recognized for the future tax consequences attributable to differences between the consolidated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recoverable or settled. We recognize the effect on deferred tax assets and liabilities of a change in tax rates as income and expense in the period that includes the enactment date. A valuation allowance is established if it is more likely than not that all or a portion of the deferred tax asset will not be realized.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tax positions are subject to income tax audits by multiple tax jurisdictions throughout the world. We recognize the tax benefit of an uncertain tax position only if it is more likely than not the position is sustainable upon examination by the taxing authority. We measure the tax benefit recognized as the largest amount of benefit which is more likely than not to be realized upon settlement with the taxing authority. We recognize penalties and interest related to unrecognized tax benefits as income tax expense.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calculate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 authorities. The estimate of the potential outcome of any uncertain tax issue is subject to our assessment of relevant risks, facts, and circumstances existing at that time. To the extent the assessment of such tax position changes, we record the change in estimate in the period in which we make that determination.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Foreign Currency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operations located outside of the United States where the local currency is the functional currency are translated into U.S. dollars using the current rate method. Results of operations are translated at the average rate of exchange for the period. Assets and liabilities are translated at the closing rates on the balance sheet date. Gains and losses on translation of these accounts are accumulated and reported as a separate component of stockholders’ equity and other comprehensive loss.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Gains and losses on foreign currency transactions are recognized in the accompanying consolidated statements of operations as a component of ‘Other (income) expense, net’. Gains and losses from transactions denominated in foreign currencies resulted in net transaction gains of $8.7 million, net transaction losses of $6.1 million, and net transaction losses of $3.7 million for the years ended December 31, 2023, 2022, and 2021,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Research and development expenses include payroll, employee benefits, and other headcount-related costs associated with product development. Our product utilizes a common codebase, whether accessed by customers via the cloud or via an on-premises installation. Since our software is sold and licensed externally, we consider our software as external-use software for purposes of applying the capitalized software development guidance. Product development costs are expensed as incurred until technological feasibility has been established, which is defined as the completion of all planning, designing, coding, and testing activities necessary to establish products that meet design specifications including functions, features, and technical performance requirements. We have determined technological feasibility for our software products is reached shortly before they are released for sale. Costs incurred after technological feasibility is established are not significant, and accordingly we expense all research and development costs when incurred.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53670"/>
                <wp:effectExtent l="0" t="0" r="0" b="0"/>
                <wp:wrapNone/>
                <wp:docPr id="82" name="Frame7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Severance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During the first six months of 2023, we incurred severance costs related to involuntary reductions in our workforce designed to right-size our employee base and improve operations. Severance costs related to these actions totaled $6.3 million for the year ended December 31, 2023. The majority of the costs incurred were paid to the impacted employees by December 31, 2023. No severance costs were incurred related to an involuntary reduction in our workforce in 2022 and 2021.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Advertising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expense advertising costs as they are incurred. Advertising expenses were $4.2 million, $5.8 million, and $4.4 million for the years ended December 31, 2023, 2022, and 2021,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did not adopt any new accounting guidance in 2023 that had a material impact on our consolidated financial statements or disclosures.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Not Yet 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November 2023, the FASB issued Accounting Standards Update (“ASU”) 2023-07, Segment Reporting (Topic 280): Improvement to Reportable Segment Disclosures (ASU 2023-07), which enhances the disclosure requirements for operating segments in our annual and interim consolidated financial statements. The new guidance is effective for us beginning with our annual reporting for fiscal year 2024 and for interim period reporting beginning in fiscal year 2025 and will be applied on a retrospective basis. Early adoption is permitted. The new ASU requires public companies to disclose significant segment expenses and other segment items on an annual and interim basis and provide in interim periods all disclosures about a reportable segment’s profit or loss and assets that are currently required annually. Additionally, it requires public companies to disclose the title and position of the Chief Operating Decision Maker (CODM). The ASU does not change how a public entity identifies its operating segments, aggregates them, or applies the quantitative thresholds to determine its reportable segments. This guidance also applies to public entities that have only one segment. The new ASU will only impact our disclosures with no impacts to our results of operations, cash flows and financial condition.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December 2023, the FASB issued ASU 2023-09, Income Tax (Topic 740): Improvement to Income tax Disclosures (ASU 2023-09), which requires public companies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new guidance is effective for our annual reporting for fiscal year 2025 on a prospective basis with the option to apply the standard retrospectively. Early adoption is permitted. The new ASU will only impact our disclosures with no impacts to our results of operations, cash flows and financial condition.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3.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Revenue Recognition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generate subscriptions revenue primarily through the sale of cloud subscriptions bundled with maintenance and support and hosting services as well as term license subscriptions bundled with maintenance and support. We generate professional services revenue from fees for our consulting services, including application development and deployment assistance as well as training related to our platform.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53670"/>
                <wp:effectExtent l="0" t="0" r="0" b="0"/>
                <wp:wrapNone/>
                <wp:docPr id="83" name="Frame8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recorded during the years ended December 31, 2023, 2022, and 2021 (in thousands):</w:t>
      </w:r>
    </w:p>
    <w:p>
      <w:pPr>
        <w:pStyle w:val="TextBody"/>
        <w:bidi w:val="0"/>
        <w:spacing w:before="0" w:after="0"/>
        <w:ind w:left="0" w:right="0" w:firstLine="360"/>
        <w:jc w:val="left"/>
        <w:rPr/>
      </w:pPr>
      <w:r>
        <w:rPr/>
      </w:r>
    </w:p>
    <w:tbl>
      <w:tblPr>
        <w:tblW w:w="6461" w:type="dxa"/>
        <w:jc w:val="left"/>
        <w:tblInd w:w="0" w:type="dxa"/>
        <w:tblLayout w:type="fixed"/>
        <w:tblCellMar>
          <w:top w:w="28" w:type="dxa"/>
          <w:left w:w="28" w:type="dxa"/>
          <w:bottom w:w="28" w:type="dxa"/>
          <w:right w:w="28" w:type="dxa"/>
        </w:tblCellMar>
      </w:tblPr>
      <w:tblGrid>
        <w:gridCol w:w="809"/>
        <w:gridCol w:w="712"/>
        <w:gridCol w:w="713"/>
        <w:gridCol w:w="211"/>
        <w:gridCol w:w="856"/>
        <w:gridCol w:w="109"/>
        <w:gridCol w:w="109"/>
        <w:gridCol w:w="109"/>
        <w:gridCol w:w="109"/>
        <w:gridCol w:w="211"/>
        <w:gridCol w:w="856"/>
        <w:gridCol w:w="109"/>
        <w:gridCol w:w="109"/>
        <w:gridCol w:w="109"/>
        <w:gridCol w:w="109"/>
        <w:gridCol w:w="211"/>
        <w:gridCol w:w="85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Cloud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179,415 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Term license 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Maintenance and support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subscriptions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340,152 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369,259 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Performance Obligations and Timing of Revenue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We primarily sell products and services that fall into the categories discussed below. Each category contains one or more performance obligations that are either (1) capable of being distinct (i.e., the customer can benefit from the product or service on its own or together with readily available resources, including those purchased separately from us) and distinct within the context of the contract (i.e., separately identified from other promises in the contract) or (2) a series of distinct products or services that are substantially the same and have the same pattern of transfer to the customer. Our term license subscriptions are delivered at a point in time while our cloud subscriptions, maintenance and support, and professional services are delivered over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Subscriptions Revenue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Subscriptions revenue is primarily related to (1) cloud subscriptions bundled with maintenance and support and hosting services and (2) term license subscriptions bundled with maintenance and support. We generally charge subscription fees on a per-user basis or through non-user-based single application licenses. We bill customers and collect payment for subscriptions to our platform in advance on an annual, quarterly, or monthly basis. In certain instances, our customers have paid their entire contract up front.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Cloud Subscriptions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cloud-based subscriptions revenue primarily from the sales of subscriptions to access our cloud offering, together with related support services to our customers. We perform all required maintenance and support for our cloud offering. Revenue is recognized on a ratable basis over the contract term beginning on the date the service is made available to the customer. Our cloud-based subscription contracts generally have a term of one to three years in length. We bill customers and collect payment for subscriptions to our platform in advance, and they are non-cancellable.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Term License Subscriptions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term license subscriptions revenue is derived from customers with on-premises installations of our platform. The majority of our contracts are one year in length. Although term license subscriptions are sold with maintenance and support, the software is fully functional at the beginning of the subscription and is considered a distinct performance obligation. If a cloud-based subscription includes the right for the customer to take possession of the license, the revenue is treated as a term license. Revenue from term license subscriptions is recognized when control of the software license has transferred to the customer, which is the later of delivery or commencement of the contract term.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Maintenance and Support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Maintenance and support subscriptions include both technical support and when-and-if-available software upgrades, which are treated as a single performance obligation as they are considered a series of distinct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53670"/>
                <wp:effectExtent l="0" t="0" r="0" b="0"/>
                <wp:wrapNone/>
                <wp:docPr id="84" name="Frame8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81</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that are substantially the same and have the same duration and measure of progress. Revenue from maintenance and support is recognized ratably over the contract period, which is the period over which the customer has continuous access to maintenance and support.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Professional Services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Our professional services revenue is comprised of fees for consulting services, including application development and deployment assistance as well as training services related to our platform. Our professional services are considered distinct performance obligations when sold standalone or with other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Consulting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sell consulting services to assist customers in planning and executing the deployment of our software. Customers are not required to use consulting services to fully benefit from the software. Consulting services are regularly sold on a standalone basis and most often as either (1) under a fixed-fee arrangement or (2) on a time and materials basis. We also sell advisory services on a subscription basis to support customers or partners with their development and deployment. Consulting services contracts are considered separate performance obligations because they do not integrate with each other or with other products and services to deliver a combined output to the customer, do not modify or customize (or are not modified or customized by) each other or other products and services, and do not affect the customer's ability to use the other consulting offerings or other products and services. Revenue under consulting contracts is recognized over time as services are delivered. Revenue from subscription-based consulting contracts is recognized ratably over the contract period. For time and materials-based consulting contracts, we have elected the practical expedient of recognizing revenue upon invoicing since the invoiced amount corresponds directly to the value of our service to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Training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We sell various training services to our customers. Training services are sold in the form of prepaid training credits that are redeemed based on a fixed rate per course. Training revenue is recognized when the associated training services are delivered.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shd w:fill="FFFFFF" w:val="clear"/>
        </w:rPr>
      </w:pPr>
      <w:r>
        <w:rPr>
          <w:rFonts w:ascii="Tahoma;sans-serif" w:hAnsi="Tahoma;sans-serif"/>
          <w:b/>
          <w:i/>
          <w:color w:val="000000"/>
          <w:sz w:val="20"/>
          <w:shd w:fill="FFFFFF" w:val="clear"/>
        </w:rPr>
        <w:t>Significant Judgments and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Determining the Transaction 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transaction price is the total amount of consideration we expect to receive in exchange for the service offerings in a contract and may include both fixed and variable components. Variable consideration is included in the transaction price to the extent it is probable a significant reversal will not occur. The amount of variable consideration excluded from the transaction price for the years ended December 31, 2023, 2022, and 2021 was immaterial. Our estimates of variable consideration are also subject to subsequent true-up adjustments and may result in changes to transaction prices; however, such true-up adjustments are not expected to be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Allocating the Transaction Price Based on Standalone Selling Prices (“SSP”)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allocate the transaction price to each performance obligation in a contract based on its relative SSP. The SSP is the observable price at which we sell the product or service separately. In the absence of observable pricing, we estimate SSP using the residual approach. We establish SSP as follows: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1.</w:t>
      </w:r>
      <w:r>
        <w:rPr>
          <w:rFonts w:ascii="Tahoma;sans-serif" w:hAnsi="Tahoma;sans-serif"/>
          <w:b w:val="false"/>
          <w:color w:val="000000"/>
          <w:sz w:val="20"/>
        </w:rPr>
        <w:t>Cloud subscriptions - Given the highly variable selling price of our cloud subscriptions, we establish the SSP of our cloud subscriptions using a residual approach after first determining the SSP of consulting and training services. We have concluded the residual approach to estimating the SSP of our cloud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2.</w:t>
      </w:r>
      <w:r>
        <w:rPr>
          <w:rFonts w:ascii="Tahoma;sans-serif" w:hAnsi="Tahoma;sans-serif"/>
          <w:b w:val="false"/>
          <w:color w:val="000000"/>
          <w:sz w:val="20"/>
        </w:rPr>
        <w:t xml:space="preserve">Term license subscriptions - Given the highly variable selling price of our term license subscriptions, we have established the SSP of term license subscriptions using a residual approach after first determining the SSP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53670"/>
                <wp:effectExtent l="0" t="0" r="0" b="0"/>
                <wp:wrapNone/>
                <wp:docPr id="85" name="Frame8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82</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maintenance and support. Maintenance and support is sold on a standalone basis in conjunction with renewals of our legacy perpetual software licenses and within a narrow range of the net license fee. Because an economic relationship exists between the license and maintenance and support, we have concluded the residual approach to estimating the SSP of term license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3.</w:t>
      </w:r>
      <w:r>
        <w:rPr>
          <w:rFonts w:ascii="Tahoma;sans-serif" w:hAnsi="Tahoma;sans-serif"/>
          <w:b w:val="false"/>
          <w:color w:val="000000"/>
          <w:sz w:val="20"/>
        </w:rPr>
        <w:t xml:space="preserve">Maintenance and support - We establish the SSP of maintenance and support as a percentage of the stated net subscription fee based on observable pricing of maintenance and support renewals from our legacy perpetual software licenses.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4.</w:t>
      </w:r>
      <w:r>
        <w:rPr>
          <w:rFonts w:ascii="Tahoma;sans-serif" w:hAnsi="Tahoma;sans-serif"/>
          <w:b w:val="false"/>
          <w:color w:val="000000"/>
          <w:sz w:val="20"/>
        </w:rPr>
        <w:t xml:space="preserve">Consulting and training services - The SSP of consulting and training services is established based on the observable pricing of standalone sales within each geographic region where the services are sold.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Timing may differ between the satisfaction of performance obligations and the invoicing and collection of amounts related to our contracts with customers. Contract assets primarily relate to unbilled amounts for contracts with customers for which the amount of revenue recognized exceeds the amount billed to the customer. Contract assets are transferred to accounts receivable when the right to invoice becomes unconditional. Contract liabilities consist of deferred revenue and include payments received in advance of the satisfaction of performance obligations. Deferred revenue is then recognized as the revenue recognition criteria are met. Deferred revenue that will be recognized during the succeeding 12-month period is recorded as current, and the remaining deferred revenue is recorded as non-current.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contract asset and contract liability balances as of December 31, 2023, 2022, and 2021 (in thousands):</w:t>
      </w:r>
    </w:p>
    <w:p>
      <w:pPr>
        <w:pStyle w:val="TextBody"/>
        <w:bidi w:val="0"/>
        <w:spacing w:before="0" w:after="0"/>
        <w:ind w:left="0" w:right="0" w:firstLine="360"/>
        <w:jc w:val="left"/>
        <w:rPr/>
      </w:pPr>
      <w:r>
        <w:rPr/>
      </w:r>
    </w:p>
    <w:tbl>
      <w:tblPr>
        <w:tblW w:w="6776" w:type="dxa"/>
        <w:jc w:val="left"/>
        <w:tblInd w:w="0" w:type="dxa"/>
        <w:tblLayout w:type="fixed"/>
        <w:tblCellMar>
          <w:top w:w="28" w:type="dxa"/>
          <w:left w:w="28" w:type="dxa"/>
          <w:bottom w:w="28" w:type="dxa"/>
          <w:right w:w="28" w:type="dxa"/>
        </w:tblCellMar>
      </w:tblPr>
      <w:tblGrid>
        <w:gridCol w:w="923"/>
        <w:gridCol w:w="810"/>
        <w:gridCol w:w="816"/>
        <w:gridCol w:w="211"/>
        <w:gridCol w:w="856"/>
        <w:gridCol w:w="109"/>
        <w:gridCol w:w="109"/>
        <w:gridCol w:w="109"/>
        <w:gridCol w:w="109"/>
        <w:gridCol w:w="211"/>
        <w:gridCol w:w="856"/>
        <w:gridCol w:w="109"/>
        <w:gridCol w:w="109"/>
        <w:gridCol w:w="109"/>
        <w:gridCol w:w="109"/>
        <w:gridCol w:w="211"/>
        <w:gridCol w:w="85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current</w:t>
            </w:r>
            <w:r>
              <w:rPr>
                <w:rFonts w:ascii="Tahoma;sans-serif" w:hAnsi="Tahoma;sans-serif"/>
                <w:b w:val="false"/>
                <w:color w:val="000000"/>
                <w:sz w:val="12"/>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non-current</w:t>
            </w:r>
            <w:r>
              <w:rPr>
                <w:rFonts w:ascii="Tahoma;sans-serif" w:hAnsi="Tahoma;sans-serif"/>
                <w:b w:val="false"/>
                <w:color w:val="000000"/>
                <w:sz w:val="12"/>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Deferred revenue,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200,324 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152,599 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Current and non-current contract assets are reported as components of the ‘Prepaid expenses and other current assets’ and ‘Other assets’ line items, respectively, in our consolidated balance sheets.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Revenue recognized from amounts included in contract liabilities at the beginning of the period totaled $196.5 million, $147.0 million, and $114.2 million for the years ended December 31, 2023, 2022 and 2021, respectively. Accounts receivable, net of allowance, as of December 31, 2021 was $130.0 million.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Transaction Price Allocated to the Remaining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we had an aggregate transaction price of $489.7 million allocated to unsatisfied performance obligations. We expect to recognize $310.9 million of this balance as revenue over the next 12 months with the remaining amount recognized thereafter.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4. Leases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our lease portfolio consists entirely of operating leases for corporate offices. Our operating leases have remaining lease terms with various expiration dates through 2031, and some leases include options to extend the term for up to an additional 10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53670"/>
                <wp:effectExtent l="0" t="0" r="0" b="0"/>
                <wp:wrapNone/>
                <wp:docPr id="86" name="Frame8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83</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Right-of-Use (“ROU”) Assets and Lease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At the inception of an arrangement, we determine whether the arrangement is or contains a lease based on the unique facts and circumstances present and the classification of the lease. Operating leases with a term greater than one year are recognized on the consolidated balance sheets as ROU assets, lease liabilities, and long-term lease liabilities. ROU assets represent our right to use an underlying asset for the lease term, and lease liabilities represent our obligation to make lease payments arising from the lease. We have elected not to recognize on our consolidated balance sheets leases with a term of one year or less.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Lease liabilities and their corresponding ROU assets are recorded based on the present value of lease payments over the expected lease term. The implicit rates within most of our leases are generally not determinable; therefore, we estimate our incremental borrowing rate to determine the present value of lease payments. The determination of our incremental borrowing rate requires judgment and is estimated for each lease based on the rate we would have to pay for a collateralized loan with the same terms as the lease. We consider various factors, including our level of collateralization, estimated credit rating, and the currency in which the lease is denominated. Operating lease ROU assets also include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Lease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Expense for operating leases is recognized on a straight-line basis over the lease term as an operating expense. We have lease agreements which require payments for lease and non-lease components (i.e., common area maintenance) that are accounted for as a single lease component. Variable lease payment amounts that cannot be determined at the commencement of the lease, such as maintenance costs, utilities, and service charges are not included in ROU assets or lease liabilities but rather are expensed as incurred and recorded as variable lease expense. We often receive customary incentives from our landlords such as tenant improvement allowances (“TIAs”) and rent abatement periods, which effectively reduce total lease payments owed for the 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the components of lease expense for the years ended December 31, 2023, 2022, and 2021 (in thousands, exclusive of sublease income):</w:t>
      </w:r>
    </w:p>
    <w:p>
      <w:pPr>
        <w:pStyle w:val="TextBody"/>
        <w:bidi w:val="0"/>
        <w:spacing w:before="0" w:after="0"/>
        <w:ind w:left="0" w:right="0" w:firstLine="360"/>
        <w:jc w:val="left"/>
        <w:rPr/>
      </w:pPr>
      <w:r>
        <w:rPr/>
      </w:r>
    </w:p>
    <w:tbl>
      <w:tblPr>
        <w:tblW w:w="5621" w:type="dxa"/>
        <w:jc w:val="left"/>
        <w:tblInd w:w="0" w:type="dxa"/>
        <w:tblLayout w:type="fixed"/>
        <w:tblCellMar>
          <w:top w:w="28" w:type="dxa"/>
          <w:left w:w="28" w:type="dxa"/>
          <w:bottom w:w="28" w:type="dxa"/>
          <w:right w:w="28" w:type="dxa"/>
        </w:tblCellMar>
      </w:tblPr>
      <w:tblGrid>
        <w:gridCol w:w="656"/>
        <w:gridCol w:w="578"/>
        <w:gridCol w:w="580"/>
        <w:gridCol w:w="211"/>
        <w:gridCol w:w="751"/>
        <w:gridCol w:w="109"/>
        <w:gridCol w:w="109"/>
        <w:gridCol w:w="109"/>
        <w:gridCol w:w="109"/>
        <w:gridCol w:w="211"/>
        <w:gridCol w:w="751"/>
        <w:gridCol w:w="109"/>
        <w:gridCol w:w="109"/>
        <w:gridCol w:w="109"/>
        <w:gridCol w:w="109"/>
        <w:gridCol w:w="211"/>
        <w:gridCol w:w="64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lease cost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Variable lease cost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Sublease income totaled $1.3 million and $0.4 million for the years ended December 31, 2023 and 2022, respectively. There was no sublease income for the year ended December 31, 2021.</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53670"/>
                <wp:effectExtent l="0" t="0" r="0" b="0"/>
                <wp:wrapNone/>
                <wp:docPr id="87" name="Frame8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Supplemental Lease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balance sheet information related to operating leases as of December 31, 2023 and 2022 is presented in the following table (in thousands, except for lease term and discount rate):</w:t>
      </w:r>
    </w:p>
    <w:p>
      <w:pPr>
        <w:pStyle w:val="TextBody"/>
        <w:bidi w:val="0"/>
        <w:spacing w:before="0" w:after="0"/>
        <w:ind w:left="0" w:right="0" w:firstLine="360"/>
        <w:jc w:val="left"/>
        <w:rPr/>
      </w:pPr>
      <w:r>
        <w:rPr/>
      </w:r>
    </w:p>
    <w:tbl>
      <w:tblPr>
        <w:tblW w:w="6395" w:type="dxa"/>
        <w:jc w:val="left"/>
        <w:tblInd w:w="0" w:type="dxa"/>
        <w:tblLayout w:type="fixed"/>
        <w:tblCellMar>
          <w:top w:w="28" w:type="dxa"/>
          <w:left w:w="28" w:type="dxa"/>
          <w:bottom w:w="28" w:type="dxa"/>
          <w:right w:w="28" w:type="dxa"/>
        </w:tblCellMar>
      </w:tblPr>
      <w:tblGrid>
        <w:gridCol w:w="1489"/>
        <w:gridCol w:w="1308"/>
        <w:gridCol w:w="1312"/>
        <w:gridCol w:w="231"/>
        <w:gridCol w:w="207"/>
        <w:gridCol w:w="501"/>
        <w:gridCol w:w="119"/>
        <w:gridCol w:w="119"/>
        <w:gridCol w:w="119"/>
        <w:gridCol w:w="234"/>
        <w:gridCol w:w="202"/>
        <w:gridCol w:w="5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Right-of-use assets for operating leases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39,975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37,248</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current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11,698</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8,681</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net of current portion</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59,067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57,225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operating lease liabilities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70,765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65,906</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remaining lease term (in years)</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discount rate</w:t>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cash flow and expense information related to operating leases for the years ended December 31, 2023, 2022, and 2021 is shown below (in thousands):</w:t>
      </w:r>
    </w:p>
    <w:p>
      <w:pPr>
        <w:pStyle w:val="TextBody"/>
        <w:bidi w:val="0"/>
        <w:spacing w:before="0" w:after="0"/>
        <w:ind w:left="0" w:right="0" w:firstLine="360"/>
        <w:jc w:val="left"/>
        <w:rPr/>
      </w:pPr>
      <w:r>
        <w:rPr/>
      </w:r>
    </w:p>
    <w:tbl>
      <w:tblPr>
        <w:tblW w:w="7317" w:type="dxa"/>
        <w:jc w:val="left"/>
        <w:tblInd w:w="0" w:type="dxa"/>
        <w:tblLayout w:type="fixed"/>
        <w:tblCellMar>
          <w:top w:w="28" w:type="dxa"/>
          <w:left w:w="28" w:type="dxa"/>
          <w:bottom w:w="28" w:type="dxa"/>
          <w:right w:w="28" w:type="dxa"/>
        </w:tblCellMar>
      </w:tblPr>
      <w:tblGrid>
        <w:gridCol w:w="1346"/>
        <w:gridCol w:w="1185"/>
        <w:gridCol w:w="1189"/>
        <w:gridCol w:w="211"/>
        <w:gridCol w:w="646"/>
        <w:gridCol w:w="109"/>
        <w:gridCol w:w="109"/>
        <w:gridCol w:w="109"/>
        <w:gridCol w:w="109"/>
        <w:gridCol w:w="211"/>
        <w:gridCol w:w="646"/>
        <w:gridCol w:w="109"/>
        <w:gridCol w:w="109"/>
        <w:gridCol w:w="109"/>
        <w:gridCol w:w="109"/>
        <w:gridCol w:w="211"/>
        <w:gridCol w:w="64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cash outflows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Amortization of operating lease ROU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 on 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each of the years ended December 31, 2023 and 2022, TIA reimbursements totaled $2.6 million. No TIA reimbursements were received during the year ended December 31, 2021.</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 summary of our future minimum lease commitments under non-cancellable leases as of December 31, 2023 is shown below (in thousands): </w:t>
      </w:r>
    </w:p>
    <w:p>
      <w:pPr>
        <w:pStyle w:val="TextBody"/>
        <w:bidi w:val="0"/>
        <w:spacing w:before="0" w:after="0"/>
        <w:ind w:left="0" w:right="0" w:firstLine="360"/>
        <w:jc w:val="left"/>
        <w:rPr/>
      </w:pPr>
      <w:r>
        <w:rPr/>
      </w:r>
    </w:p>
    <w:tbl>
      <w:tblPr>
        <w:tblW w:w="3591" w:type="dxa"/>
        <w:jc w:val="left"/>
        <w:tblInd w:w="0" w:type="dxa"/>
        <w:tblLayout w:type="fixed"/>
        <w:tblCellMar>
          <w:top w:w="28" w:type="dxa"/>
          <w:left w:w="28" w:type="dxa"/>
          <w:bottom w:w="28" w:type="dxa"/>
          <w:right w:w="28" w:type="dxa"/>
        </w:tblCellMar>
      </w:tblPr>
      <w:tblGrid>
        <w:gridCol w:w="678"/>
        <w:gridCol w:w="594"/>
        <w:gridCol w:w="602"/>
        <w:gridCol w:w="286"/>
        <w:gridCol w:w="1020"/>
        <w:gridCol w:w="148"/>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12,208 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2025</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13,011 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34,839 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lease payments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99,442 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imputed interest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(28,677)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70,765 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53670"/>
                <wp:effectExtent l="0" t="0" r="0" b="0"/>
                <wp:wrapNone/>
                <wp:docPr id="88" name="Frame8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5. Goodwill and Intangible Assets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details the changes in goodwill during the fiscal years ended December 31, 2023 and 2022 (in thousands):</w:t>
      </w:r>
    </w:p>
    <w:p>
      <w:pPr>
        <w:pStyle w:val="TextBody"/>
        <w:bidi w:val="0"/>
        <w:spacing w:before="0" w:after="0"/>
        <w:jc w:val="left"/>
        <w:rPr/>
      </w:pPr>
      <w:r>
        <w:rPr/>
      </w:r>
    </w:p>
    <w:tbl>
      <w:tblPr>
        <w:tblW w:w="4890" w:type="dxa"/>
        <w:jc w:val="left"/>
        <w:tblInd w:w="0" w:type="dxa"/>
        <w:tblLayout w:type="fixed"/>
        <w:tblCellMar>
          <w:top w:w="28" w:type="dxa"/>
          <w:left w:w="28" w:type="dxa"/>
          <w:bottom w:w="28" w:type="dxa"/>
          <w:right w:w="28" w:type="dxa"/>
        </w:tblCellMar>
      </w:tblPr>
      <w:tblGrid>
        <w:gridCol w:w="1227"/>
        <w:gridCol w:w="1080"/>
        <w:gridCol w:w="1083"/>
        <w:gridCol w:w="283"/>
        <w:gridCol w:w="1010"/>
        <w:gridCol w:w="207"/>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Carrying Amount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2021</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27,795 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2022</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26,349 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2023</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27,106 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assets, net consisted of the following as of December 31, 2023 and 2022 (in thousands):</w:t>
      </w:r>
    </w:p>
    <w:p>
      <w:pPr>
        <w:pStyle w:val="TextBody"/>
        <w:bidi w:val="0"/>
        <w:spacing w:before="0" w:after="0"/>
        <w:ind w:left="0" w:right="0" w:firstLine="360"/>
        <w:jc w:val="left"/>
        <w:rPr/>
      </w:pPr>
      <w:r>
        <w:rPr/>
      </w:r>
    </w:p>
    <w:tbl>
      <w:tblPr>
        <w:tblW w:w="4959" w:type="dxa"/>
        <w:jc w:val="left"/>
        <w:tblInd w:w="0" w:type="dxa"/>
        <w:tblLayout w:type="fixed"/>
        <w:tblCellMar>
          <w:top w:w="28" w:type="dxa"/>
          <w:left w:w="28" w:type="dxa"/>
          <w:bottom w:w="28" w:type="dxa"/>
          <w:right w:w="28" w:type="dxa"/>
        </w:tblCellMar>
      </w:tblPr>
      <w:tblGrid>
        <w:gridCol w:w="962"/>
        <w:gridCol w:w="845"/>
        <w:gridCol w:w="848"/>
        <w:gridCol w:w="211"/>
        <w:gridCol w:w="646"/>
        <w:gridCol w:w="109"/>
        <w:gridCol w:w="109"/>
        <w:gridCol w:w="109"/>
        <w:gridCol w:w="109"/>
        <w:gridCol w:w="211"/>
        <w:gridCol w:w="64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Customer relationships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gross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Accumulated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amortization expense was $1.5 million, $1.5 million, and $0.8 million for the years ended December 31, 2023, 2022, and 2021, respectively. As of December 31, 2023, the weighted average remaining amortization periods for developed technology and customer relationships were approximately 2.5 years and 7.3 years,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shows the projected annual amortization expense related to amortizable intangible assets as of December 31, 2023 (in thousands):</w:t>
      </w:r>
    </w:p>
    <w:p>
      <w:pPr>
        <w:pStyle w:val="TextBody"/>
        <w:bidi w:val="0"/>
        <w:spacing w:before="0" w:after="0"/>
        <w:ind w:left="0" w:right="0" w:firstLine="360"/>
        <w:jc w:val="left"/>
        <w:rPr/>
      </w:pPr>
      <w:r>
        <w:rPr/>
      </w:r>
    </w:p>
    <w:tbl>
      <w:tblPr>
        <w:tblW w:w="5339" w:type="dxa"/>
        <w:jc w:val="left"/>
        <w:tblInd w:w="0" w:type="dxa"/>
        <w:tblLayout w:type="fixed"/>
        <w:tblCellMar>
          <w:top w:w="28" w:type="dxa"/>
          <w:left w:w="28" w:type="dxa"/>
          <w:bottom w:w="28" w:type="dxa"/>
          <w:right w:w="28" w:type="dxa"/>
        </w:tblCellMar>
      </w:tblPr>
      <w:tblGrid>
        <w:gridCol w:w="1118"/>
        <w:gridCol w:w="979"/>
        <w:gridCol w:w="993"/>
        <w:gridCol w:w="469"/>
        <w:gridCol w:w="1438"/>
        <w:gridCol w:w="342"/>
      </w:tblGrid>
      <w:tr>
        <w:trPr/>
        <w:tc>
          <w:tcPr>
            <w:tcW w:w="111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2024</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1,513 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2025</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projected amortization expense</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3,889 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53670"/>
                <wp:effectExtent l="0" t="0" r="0" b="0"/>
                <wp:wrapNone/>
                <wp:docPr id="89" name="Frame8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86</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6. Property and Equipment,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net consisted of the following as of December 31, 2023 and 2022 (in thousands):</w:t>
      </w:r>
    </w:p>
    <w:p>
      <w:pPr>
        <w:pStyle w:val="TextBody"/>
        <w:bidi w:val="0"/>
        <w:spacing w:before="0" w:after="0"/>
        <w:ind w:left="0" w:right="0" w:firstLine="360"/>
        <w:jc w:val="left"/>
        <w:rPr/>
      </w:pPr>
      <w:r>
        <w:rPr/>
      </w:r>
    </w:p>
    <w:tbl>
      <w:tblPr>
        <w:tblW w:w="5168" w:type="dxa"/>
        <w:jc w:val="left"/>
        <w:tblInd w:w="0" w:type="dxa"/>
        <w:tblLayout w:type="fixed"/>
        <w:tblCellMar>
          <w:top w:w="28" w:type="dxa"/>
          <w:left w:w="28" w:type="dxa"/>
          <w:bottom w:w="28" w:type="dxa"/>
          <w:right w:w="28" w:type="dxa"/>
        </w:tblCellMar>
      </w:tblPr>
      <w:tblGrid>
        <w:gridCol w:w="961"/>
        <w:gridCol w:w="845"/>
        <w:gridCol w:w="848"/>
        <w:gridCol w:w="211"/>
        <w:gridCol w:w="751"/>
        <w:gridCol w:w="109"/>
        <w:gridCol w:w="109"/>
        <w:gridCol w:w="109"/>
        <w:gridCol w:w="109"/>
        <w:gridCol w:w="211"/>
        <w:gridCol w:w="75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Office furniture and fixtures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Computer hardware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Computer software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gross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60,719 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Accumulated depreciation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41,855 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Depreciation expense totaled $8.0 million, $5.8 million, and $4.9 million for the years ended December 31, 2023, 2022, and 2021, respectively. During the years ended December 31, 2023, and 2022, we disposed of or retired $1.4 million and $1.0 million worth of fully depreciated property and equipment, respectively. Disposals during the year ended December 31, 2021 were not significant.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7. Accrued Expenses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Accrued expenses consisted of the following as of December 31, 2023 and 2022 (in thousands):</w:t>
      </w:r>
    </w:p>
    <w:p>
      <w:pPr>
        <w:pStyle w:val="TextBody"/>
        <w:bidi w:val="0"/>
        <w:spacing w:before="0" w:after="0"/>
        <w:jc w:val="left"/>
        <w:rPr/>
      </w:pPr>
      <w:r>
        <w:rPr/>
      </w:r>
    </w:p>
    <w:tbl>
      <w:tblPr>
        <w:tblW w:w="5439" w:type="dxa"/>
        <w:jc w:val="center"/>
        <w:tblInd w:w="0" w:type="dxa"/>
        <w:tblLayout w:type="fixed"/>
        <w:tblCellMar>
          <w:top w:w="28" w:type="dxa"/>
          <w:left w:w="28" w:type="dxa"/>
          <w:bottom w:w="28" w:type="dxa"/>
          <w:right w:w="28" w:type="dxa"/>
        </w:tblCellMar>
      </w:tblPr>
      <w:tblGrid>
        <w:gridCol w:w="1058"/>
        <w:gridCol w:w="929"/>
        <w:gridCol w:w="938"/>
        <w:gridCol w:w="211"/>
        <w:gridCol w:w="751"/>
        <w:gridCol w:w="109"/>
        <w:gridCol w:w="109"/>
        <w:gridCol w:w="109"/>
        <w:gridCol w:w="109"/>
        <w:gridCol w:w="211"/>
        <w:gridCol w:w="751"/>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Hosting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Contract labor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Marketing and tradeshow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Audit and tax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Taxes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Legal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Reimbursable employee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Third party license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accrued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8.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Senior Secured Credit Facilities Credit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we have a Senior Secured Credit Facilities Credit Agreement (the “Credit Agreement”) which provides for a five-year term loan facility in an aggregate principal amount of $150.0 million and, in addition, up to $75.0 million for a revolving credit facility, including a letter of credit sub-facility in the aggregate availability amount of $15.0 million and a swingline sub-facility in the aggregate availability amount of $10.0 million (as a sublimit of the revolving loan facility).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53670"/>
                <wp:effectExtent l="0" t="0" r="0" b="0"/>
                <wp:wrapNone/>
                <wp:docPr id="90" name="Frame8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February 12, 2024, we executed the fourth amendment to the credit agreement which increased the aggregate principal amount of the term loan facility by $50.0 million, increased the limit of the revolving credit facility by $25.0 million, and amended certain covenants and definitions. The total aggregate term loan facility is now $200.0 million and the revolving credit facility is $100.0 million. The Credit Agreement matures on November 3, 2027. We will use the proceeds to continue funding the growth of our business and support our working capital requirements.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Under the agreement, we may elect whether amounts drawn bear interest on the outstanding principal amount at a rate per annum equal to either (a) the higher of the Prime rate or the Federal Funds Effective (“Base Rate”) rate plus 0.50% or (b) the forward-looking term rate based on the secured overnight financing rate (“Term SOFR”). An additional interest rate margin is added to the elected interest rates. During the first three years of the Credit Agreement, the additional interest rate margin ranges from 1.5% to 2.5% in the case of Base Rate advances or from 2.5% to 3.5% in the case of Term SOFR advances, depending on our debt to recurring revenue leverage ratio (as defined in the Credit Agreement). During the final two years of the Credit Agreement, the interest rate margin ranges from 0.5% to 2.5% in the case of Base Rate advances and from 1.5% to 3.5% in the case of Term SOFR advances, depending on our debt to consolidated adjusted EBITDA leverage ratio (as defined in the Credit Agreement).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addition, the Credit Agreement contains other customary representations, warranties, and covenants, including covenants by us limiting additional indebtedness, guarantees, liens, fundamental changes, mergers and consolidations, dispositions of assets, investments, paying dividends on capital stock or redeeming, repurchasing or retiring capital stock, prepaying certain junior indebtedness and preferred stock, certain corporate changes, and transactions with affiliates. The Credit Agreement also provides for customary events of default, including but not limited to non-payment, breaches, or defaults in the performance of covenants, insolvency, bankruptcy, and the occurrence of a material adverse effect on us.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outstanding debt balances as of December 31, 2023 and 2022 (in thousands):</w:t>
      </w:r>
    </w:p>
    <w:p>
      <w:pPr>
        <w:pStyle w:val="TextBody"/>
        <w:bidi w:val="0"/>
        <w:spacing w:before="0" w:after="0"/>
        <w:ind w:left="0" w:right="0" w:firstLine="360"/>
        <w:jc w:val="left"/>
        <w:rPr/>
      </w:pPr>
      <w:r>
        <w:rPr/>
      </w:r>
    </w:p>
    <w:tbl>
      <w:tblPr>
        <w:tblW w:w="6005" w:type="dxa"/>
        <w:jc w:val="left"/>
        <w:tblInd w:w="0" w:type="dxa"/>
        <w:tblLayout w:type="fixed"/>
        <w:tblCellMar>
          <w:top w:w="28" w:type="dxa"/>
          <w:left w:w="28" w:type="dxa"/>
          <w:bottom w:w="28" w:type="dxa"/>
          <w:right w:w="28" w:type="dxa"/>
        </w:tblCellMar>
      </w:tblPr>
      <w:tblGrid>
        <w:gridCol w:w="1245"/>
        <w:gridCol w:w="1093"/>
        <w:gridCol w:w="1097"/>
        <w:gridCol w:w="211"/>
        <w:gridCol w:w="751"/>
        <w:gridCol w:w="109"/>
        <w:gridCol w:w="109"/>
        <w:gridCol w:w="109"/>
        <w:gridCol w:w="109"/>
        <w:gridCol w:w="331"/>
        <w:gridCol w:w="344"/>
        <w:gridCol w:w="497"/>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Borrowings under revolving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Secured term loan facility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119,375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Less: Debt issuance costs</w:t>
            </w:r>
            <w:r>
              <w:rPr>
                <w:rFonts w:ascii="Tahoma;sans-serif" w:hAnsi="Tahoma;sans-serif"/>
                <w:b w:val="false"/>
                <w:color w:val="000000"/>
                <w:sz w:val="12"/>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(1,256)</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 net of debt issuance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118,119</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Debt,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2,740</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Long-term debt</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115,379</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118,119</w:t>
            </w:r>
          </w:p>
        </w:tc>
      </w:tr>
    </w:tbl>
    <w:p>
      <w:pPr>
        <w:pStyle w:val="TextBody"/>
        <w:bidi w:val="0"/>
        <w:spacing w:lineRule="auto" w:line="288" w:before="0" w:after="0"/>
        <w:jc w:val="left"/>
        <w:rPr/>
      </w:pPr>
      <w:r>
        <w:rPr>
          <w:rFonts w:ascii="Tahoma;sans-serif" w:hAnsi="Tahoma;sans-serif"/>
          <w:b w:val="false"/>
          <w:color w:val="000000"/>
          <w:sz w:val="10"/>
        </w:rPr>
        <w:t xml:space="preserve">(1) </w:t>
      </w:r>
      <w:r>
        <w:rPr>
          <w:rFonts w:ascii="Tahoma;sans-serif" w:hAnsi="Tahoma;sans-serif"/>
          <w:b w:val="false"/>
          <w:color w:val="000000"/>
          <w:sz w:val="16"/>
        </w:rPr>
        <w:t xml:space="preserve">Deferred debt issuance costs associated with the term loan facility are recorded net of the debt obligation and amortized to interest expense over the term of the Credit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53670"/>
                <wp:effectExtent l="0" t="0" r="0" b="0"/>
                <wp:wrapNone/>
                <wp:docPr id="91" name="Frame8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following table summarizes the annual maturities of the principal amount of total debt due as of December 31, 2023 (in thousands): </w:t>
      </w:r>
    </w:p>
    <w:p>
      <w:pPr>
        <w:pStyle w:val="TextBody"/>
        <w:bidi w:val="0"/>
        <w:spacing w:before="0" w:after="0"/>
        <w:ind w:left="0" w:right="0" w:firstLine="360"/>
        <w:jc w:val="left"/>
        <w:rPr/>
      </w:pPr>
      <w:r>
        <w:rPr/>
      </w:r>
    </w:p>
    <w:tbl>
      <w:tblPr>
        <w:tblW w:w="2849" w:type="dxa"/>
        <w:jc w:val="left"/>
        <w:tblInd w:w="0" w:type="dxa"/>
        <w:tblLayout w:type="fixed"/>
        <w:tblCellMar>
          <w:top w:w="28" w:type="dxa"/>
          <w:left w:w="28" w:type="dxa"/>
          <w:bottom w:w="28" w:type="dxa"/>
          <w:right w:w="28" w:type="dxa"/>
        </w:tblCellMar>
      </w:tblPr>
      <w:tblGrid>
        <w:gridCol w:w="217"/>
        <w:gridCol w:w="191"/>
        <w:gridCol w:w="192"/>
        <w:gridCol w:w="388"/>
        <w:gridCol w:w="1578"/>
        <w:gridCol w:w="283"/>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2024</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4,688 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2025</w:t>
            </w:r>
          </w:p>
        </w:tc>
        <w:tc>
          <w:tcPr>
            <w:tcW w:w="1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1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2027</w:t>
            </w:r>
            <w:r>
              <w:rPr>
                <w:rFonts w:ascii="Tahoma;sans-serif" w:hAnsi="Tahoma;sans-serif"/>
                <w:b w:val="false"/>
                <w:color w:val="000000"/>
                <w:sz w:val="12"/>
              </w:rPr>
              <w:t>*</w:t>
            </w:r>
          </w:p>
        </w:tc>
        <w:tc>
          <w:tcPr>
            <w:tcW w:w="1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188,125 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207,813 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 xml:space="preserve">The contractual maturity of our outstanding revolving credit facility of $62.0 million is November 3, 2027, and is shown in the table above in fiscal year 2027. The revolving credit facility is presented as current debt on our consolidated balance sheet due to management’s intention to repay the outstanding balance within the next 12 months.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were in compliance with all covenants contained in the Credit Agreement. As of December 31, 2023, we had $62.0 million outstanding borrowings under our $75.0 million revolving credit facility, and we had outstanding letters of credit totaling $11.8 million in connection with securing our leased office space.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9. 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the years ended December 31, 2023, 2022, and 2021, our loss before income taxes was comprised of the following (in thousands): </w:t>
      </w:r>
    </w:p>
    <w:p>
      <w:pPr>
        <w:pStyle w:val="TextBody"/>
        <w:bidi w:val="0"/>
        <w:spacing w:before="0" w:after="0"/>
        <w:ind w:left="0" w:right="0" w:firstLine="360"/>
        <w:jc w:val="left"/>
        <w:rPr/>
      </w:pPr>
      <w:r>
        <w:rPr/>
      </w:r>
    </w:p>
    <w:tbl>
      <w:tblPr>
        <w:tblW w:w="5248" w:type="dxa"/>
        <w:jc w:val="left"/>
        <w:tblInd w:w="0" w:type="dxa"/>
        <w:tblLayout w:type="fixed"/>
        <w:tblCellMar>
          <w:top w:w="28" w:type="dxa"/>
          <w:left w:w="28" w:type="dxa"/>
          <w:bottom w:w="28" w:type="dxa"/>
          <w:right w:w="28" w:type="dxa"/>
        </w:tblCellMar>
      </w:tblPr>
      <w:tblGrid>
        <w:gridCol w:w="310"/>
        <w:gridCol w:w="272"/>
        <w:gridCol w:w="274"/>
        <w:gridCol w:w="211"/>
        <w:gridCol w:w="946"/>
        <w:gridCol w:w="109"/>
        <w:gridCol w:w="109"/>
        <w:gridCol w:w="109"/>
        <w:gridCol w:w="109"/>
        <w:gridCol w:w="211"/>
        <w:gridCol w:w="946"/>
        <w:gridCol w:w="109"/>
        <w:gridCol w:w="109"/>
        <w:gridCol w:w="109"/>
        <w:gridCol w:w="109"/>
        <w:gridCol w:w="211"/>
        <w:gridCol w:w="841"/>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(48,743)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(150,228)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(87,863)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years ended December 31, 2023, 2022, and 2021, our income tax expense was comprised of the following (in thousands):</w:t>
      </w:r>
    </w:p>
    <w:tbl>
      <w:tblPr>
        <w:tblW w:w="5441" w:type="dxa"/>
        <w:jc w:val="left"/>
        <w:tblInd w:w="0" w:type="dxa"/>
        <w:tblLayout w:type="fixed"/>
        <w:tblCellMar>
          <w:top w:w="28" w:type="dxa"/>
          <w:left w:w="28" w:type="dxa"/>
          <w:bottom w:w="28" w:type="dxa"/>
          <w:right w:w="28" w:type="dxa"/>
        </w:tblCellMar>
      </w:tblPr>
      <w:tblGrid>
        <w:gridCol w:w="802"/>
        <w:gridCol w:w="684"/>
        <w:gridCol w:w="688"/>
        <w:gridCol w:w="211"/>
        <w:gridCol w:w="646"/>
        <w:gridCol w:w="109"/>
        <w:gridCol w:w="109"/>
        <w:gridCol w:w="109"/>
        <w:gridCol w:w="109"/>
        <w:gridCol w:w="211"/>
        <w:gridCol w:w="481"/>
        <w:gridCol w:w="109"/>
        <w:gridCol w:w="109"/>
        <w:gridCol w:w="109"/>
        <w:gridCol w:w="109"/>
        <w:gridCol w:w="211"/>
        <w:gridCol w:w="481"/>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Current: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current expense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benefit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53670"/>
                <wp:effectExtent l="0" t="0" r="0" b="0"/>
                <wp:wrapNone/>
                <wp:docPr id="92" name="Frame8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the years ended December 31, 2023, 2022, and 2021, the provision for income taxes differs from the amount computed by applying the federal statutory income tax rates to our loss before the provision for income taxes as follows: </w:t>
      </w:r>
    </w:p>
    <w:p>
      <w:pPr>
        <w:pStyle w:val="TextBody"/>
        <w:bidi w:val="0"/>
        <w:spacing w:before="0" w:after="0"/>
        <w:ind w:left="0" w:right="0" w:firstLine="360"/>
        <w:jc w:val="left"/>
        <w:rPr/>
      </w:pPr>
      <w:r>
        <w:rPr/>
      </w:r>
    </w:p>
    <w:tbl>
      <w:tblPr>
        <w:tblW w:w="6074" w:type="dxa"/>
        <w:jc w:val="center"/>
        <w:tblInd w:w="0" w:type="dxa"/>
        <w:tblLayout w:type="fixed"/>
        <w:tblCellMar>
          <w:top w:w="28" w:type="dxa"/>
          <w:left w:w="28" w:type="dxa"/>
          <w:bottom w:w="28" w:type="dxa"/>
          <w:right w:w="28" w:type="dxa"/>
        </w:tblCellMar>
      </w:tblPr>
      <w:tblGrid>
        <w:gridCol w:w="933"/>
        <w:gridCol w:w="821"/>
        <w:gridCol w:w="825"/>
        <w:gridCol w:w="314"/>
        <w:gridCol w:w="316"/>
        <w:gridCol w:w="300"/>
        <w:gridCol w:w="110"/>
        <w:gridCol w:w="110"/>
        <w:gridCol w:w="110"/>
        <w:gridCol w:w="314"/>
        <w:gridCol w:w="316"/>
        <w:gridCol w:w="300"/>
        <w:gridCol w:w="110"/>
        <w:gridCol w:w="110"/>
        <w:gridCol w:w="110"/>
        <w:gridCol w:w="314"/>
        <w:gridCol w:w="316"/>
        <w:gridCol w:w="345"/>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federal statutory tax rate</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 tax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rate differential</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Nondeductible expenses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tax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Equity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 credits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Unrecognized tax benefits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 in tax rate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adjustments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 in valuation allowance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effective tax rate of (3.0)% in 2023 includes $27.3 million of tax expense attributable to the change in the valuation allowance in the United States and Switzerland, partially offset by $10.3 million of favorable tax benefits for research credits.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53670"/>
                <wp:effectExtent l="0" t="0" r="0" b="0"/>
                <wp:wrapNone/>
                <wp:docPr id="93" name="Frame9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Deferred tax assets and liabilities reflect the net tax effects of temporary differences between the carrying amount of the assets and liabilities for financial reporting purposes and the amounts used for income tax purposes.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As of December 31, 2023 and 2022, significant components of our deferred tax assets and liabilities were as follows (in thousands): </w:t>
      </w:r>
    </w:p>
    <w:p>
      <w:pPr>
        <w:pStyle w:val="TextBody"/>
        <w:bidi w:val="0"/>
        <w:spacing w:before="0" w:after="0"/>
        <w:ind w:left="0" w:right="0" w:firstLine="360"/>
        <w:jc w:val="left"/>
        <w:rPr/>
      </w:pPr>
      <w:r>
        <w:rPr/>
      </w:r>
    </w:p>
    <w:tbl>
      <w:tblPr>
        <w:tblW w:w="6234" w:type="dxa"/>
        <w:jc w:val="left"/>
        <w:tblInd w:w="0" w:type="dxa"/>
        <w:tblLayout w:type="fixed"/>
        <w:tblCellMar>
          <w:top w:w="28" w:type="dxa"/>
          <w:left w:w="28" w:type="dxa"/>
          <w:bottom w:w="28" w:type="dxa"/>
          <w:right w:w="28" w:type="dxa"/>
        </w:tblCellMar>
      </w:tblPr>
      <w:tblGrid>
        <w:gridCol w:w="1309"/>
        <w:gridCol w:w="1149"/>
        <w:gridCol w:w="1157"/>
        <w:gridCol w:w="211"/>
        <w:gridCol w:w="856"/>
        <w:gridCol w:w="109"/>
        <w:gridCol w:w="109"/>
        <w:gridCol w:w="109"/>
        <w:gridCol w:w="109"/>
        <w:gridCol w:w="211"/>
        <w:gridCol w:w="75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tax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 credits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Equity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Bad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accrued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Capitalized research and development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Gross deferred tax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197,847 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165,723 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Valuation allowance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tax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tax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tax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(32,430)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(31,303)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and 2022, we had $295.9 million and $237.7 million, respectively, of gross net operating loss (“NOL”) carryforwards for U.S. federal tax purposes. U.S. federal NOL carryforwards in the gross amount of $24.4 million and generated prior to 2018 will expire, if unused, in 2037. Under the Tax Cuts and Jobs Act of 2017 (the “TCJA”), as modified by the Coronavirus Aid, Relief, and Economic Security Act (the “CARES Act”), federal NOL carryforwards generated in tax years beginning after December 31, 2017 may be carried forward indefinitely. As of December 31, 2023, we had $271.5 million of gross NOL carryforwards generated after 2017 for U.S. federal tax purposes, which may be used to offset 80% of our taxable income annually.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Section 382 of the Internal Revenue Code limits the utilization of NOL carryforwards when ownership changes occur, as defined by that section. A number of states have similar state laws that limit utilization of state NOL carryforwards when ownership changes occur. We have performed an analysis of our Section 382 ownership changes and have determined all U.S. federal and state NOL carryforwards are available for use as of December 31,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Beginning in 2022, the TCJA eliminated the option to deduct research and development expenditures immediately in the year incurred and requires companies to amortize such expenditures over five or fifteen years for tax purposes, depending on whether the activities were incurred in the U.S. or outside of the U.S. The new research and development expenditures rules resulted in a tax-effected deferred tax asset (before valuation allowance) of approximately $35.0 million and $30.0 million as of December 31, 2023 and 2022, respectively.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53670"/>
                <wp:effectExtent l="0" t="0" r="0" b="0"/>
                <wp:wrapNone/>
                <wp:docPr id="94" name="Frame9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91</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to the full valuation allowance recorded against our U.S. deferred tax assets, there was no impact to net deferred tax assets. Additionally, there was no cash tax impact for 2023 due to our ability to use NOL carryforwards to fully offset taxable income generated by the changes to research and development expenditures.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and 2022, we had $27.2 million and $19.3 million, respectively, of U.S. federal tax credit carryforwards which will expire, if unused, between 2031 and 2043.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and 2022, we had U.S. gross state NOL carryforwards of $306.8 million and $256.3 million, respectively. We had tax-effected state NOL carryforwards of $17.0 million and $14.8 million as of December 31, 2023 and 2022, respectively. The rules regarding carryforwards vary from state to state, and the ability to utilize NOLs varies based on timing and amount. The majority of state NOL carryforwards generated prior to 2018 will expire, if unused, in 2037. Due to the TCJA, certain state NOL carryforwards generated after 2017 have an indefinite carryforward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and 2022, we had foreign gross NOL carryforwards of $192.3 million and $163.4 million, respectively, primarily attributable to our subsidiary in Switzerland. We had tax-effected foreign NOL carryforwards of $21.8 million and $18.7 million as of December 31, 2023 and 2022, respectively. In 2023, $1.1 million of tax-effected Swiss NOLs expired related to the 2016 tax year. An additional portion of those NOL carryforwards will expire each year, if unused, between 2024 and 2030.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and 2022 we had a total valuation allowance of $162.0 million and $132.6 million, respectively. The following table summarizes the activity related to our valuation allowances for the years ended December 31, 2023, 2022, and 2021 (in thousands):</w:t>
      </w:r>
    </w:p>
    <w:p>
      <w:pPr>
        <w:pStyle w:val="TextBody"/>
        <w:bidi w:val="0"/>
        <w:spacing w:before="0" w:after="0"/>
        <w:ind w:left="0" w:right="0" w:firstLine="360"/>
        <w:jc w:val="left"/>
        <w:rPr/>
      </w:pPr>
      <w:r>
        <w:rPr/>
      </w:r>
    </w:p>
    <w:tbl>
      <w:tblPr>
        <w:tblW w:w="7512" w:type="dxa"/>
        <w:jc w:val="left"/>
        <w:tblInd w:w="0" w:type="dxa"/>
        <w:tblLayout w:type="fixed"/>
        <w:tblCellMar>
          <w:top w:w="28" w:type="dxa"/>
          <w:left w:w="28" w:type="dxa"/>
          <w:bottom w:w="28" w:type="dxa"/>
          <w:right w:w="28" w:type="dxa"/>
        </w:tblCellMar>
      </w:tblPr>
      <w:tblGrid>
        <w:gridCol w:w="1228"/>
        <w:gridCol w:w="1077"/>
        <w:gridCol w:w="1085"/>
        <w:gridCol w:w="211"/>
        <w:gridCol w:w="856"/>
        <w:gridCol w:w="109"/>
        <w:gridCol w:w="109"/>
        <w:gridCol w:w="109"/>
        <w:gridCol w:w="109"/>
        <w:gridCol w:w="211"/>
        <w:gridCol w:w="856"/>
        <w:gridCol w:w="109"/>
        <w:gridCol w:w="109"/>
        <w:gridCol w:w="109"/>
        <w:gridCol w:w="109"/>
        <w:gridCol w:w="211"/>
        <w:gridCol w:w="751"/>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Charged to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Deductions from reserve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we continued to maintain a full valuation allowance against U.S. deferred tax assets based on our cumulative operating results as of December 31, 2023, three-year cumulative loss, and an assessment of our expected future results of operations. We have evaluated all evidence, both positive and negative, in assessing the likelihood of realizability, and we determined the negative evidence outweighed the positive evidence.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we have a valuation allowance of $21.8 million against foreign deferred tax assets at our subsidiary in Switzerland. Based on our cumulative operating results as of December 31, 2023 and assessment of our expected future results of operations, we determined it was not more likely than not we would be able to realize the deferred tax assets prior to expiration.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plan to distribute previously undistributed earnings of our foreign subsidiaries back to the United States in future years. Upon repatriation of those earnings, if any, we may be subject to taxes, including withholding taxes, net of any applicable foreign tax credits. Determination of the amount of unrecognized deferred U.S. income tax liability is not practicable.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53670"/>
                <wp:effectExtent l="0" t="0" r="0" b="0"/>
                <wp:wrapNone/>
                <wp:docPr id="95" name="Frame9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92</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2023 and 2022, we had unrecognized tax benefits of $6.5 million and $4.5 million, respectively, none of which would affect our effective tax rate if recognized due to the valuation allowance. The following table summarizes the activity related to our unrecognized tax benefit from December 31, 2020 to December 31, 2023 (in thousands): </w:t>
      </w:r>
    </w:p>
    <w:p>
      <w:pPr>
        <w:pStyle w:val="TextBody"/>
        <w:bidi w:val="0"/>
        <w:spacing w:before="0" w:after="0"/>
        <w:ind w:left="0" w:right="0" w:firstLine="360"/>
        <w:jc w:val="left"/>
        <w:rPr/>
      </w:pPr>
      <w:r>
        <w:rPr/>
      </w:r>
    </w:p>
    <w:tbl>
      <w:tblPr>
        <w:tblW w:w="5120" w:type="dxa"/>
        <w:jc w:val="left"/>
        <w:tblInd w:w="0" w:type="dxa"/>
        <w:tblLayout w:type="fixed"/>
        <w:tblCellMar>
          <w:top w:w="28" w:type="dxa"/>
          <w:left w:w="28" w:type="dxa"/>
          <w:bottom w:w="28" w:type="dxa"/>
          <w:right w:w="28" w:type="dxa"/>
        </w:tblCellMar>
      </w:tblPr>
      <w:tblGrid>
        <w:gridCol w:w="1487"/>
        <w:gridCol w:w="1309"/>
        <w:gridCol w:w="1313"/>
        <w:gridCol w:w="211"/>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2020</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prior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2021</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prior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2022</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prior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recognize interest and penalties related to uncertain tax positions in income tax expense. Our uncertain tax positions primarily relate to federal research and development tax credits. During the years ended December 31, 2023, 2022, and 2021, we recognized nominal amounts in interest. The cumulative balances of interest and penalties as of December 31, 2023 and 2022 were immaterial. We anticipate total unrecognized tax benefits will not decrease over the next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file income tax returns in the U.S. federal jurisdiction and in various state and foreign jurisdictions. Due to the NOL carryforward, tax years 2016 through 2023 remain open to examination by the major taxing jurisdictions to which we are subject. There are no open examinations that would have a meaningful impact to our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10. 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Equity Incentive Plans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May 2017, our Board of Directors adopted, and our stockholders approved, the 2017 Equity Incentive Plan (the “2017 Plan”). The 2017 Plan provides for the grant of incentive stock options to employees and for the grant of nonstatutory stock options, restricted stock awards, restricted stock units (“RSUs”), stock appreciation rights, performance-based stock awards, and other forms of equity compensation to employees, including officers, non-employee directors, and consultants. We initially reserved 6,421,442 shares of Class A common stock for issuance under the 2017 Plan, which included 421,442 shares that remained available for issuance under our 2007 Stock Option Plan (the “2007 Plan”) at the time the 2017 Plan became effective. The number of shares reserved under the 2017 Plan increases for any shares subject to outstanding awards originally granted under the 2007 Plan that expire or are forfeited prior to exercise. As a result of the adoption of the 2017 Plan, no further grants may be made under the 2007 Plan. As of December 31, 2023, there were 7,196,149 shares of Class A common stock reserved for issuance under the 2017 Plan, of which 2,516,133 are still available to be issued.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53670"/>
                <wp:effectExtent l="0" t="0" r="0" b="0"/>
                <wp:wrapNone/>
                <wp:docPr id="96" name="Frame9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93</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Stock Options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estimate the fair value of stock options containing only a service condition using the Black-Scholes option 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derive an estimate, we use the simplified method to estimate the expected term for our stock options. Under the simplified method, the expected term of an option is presumed to be the mid-point between the vesting date and the end of the contractual term. Expected volatility is based on the historical volatility of our publicly traded stock over the estimated expected term of the stock options. We assume zero dividend yield because we have historically not paid dividends and do not anticipate paying dividends in the near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June 2022, our Board of Directors granted a stock option to purchase 700,000 shares of our Class A common stock to our Chief Executive Officer (the “2022 CEO Grant”) under the 2017 Plan with an exercise price of $50.63 per share. The 2022 CEO Grant is eligible to vest based on the achievement of various stock price appreciation targets of our Class A common stock. Specifically, the 2022 CEO Grant vests in four installments of 25% each if the average closing price per share for a 365 day calendar period equals or exceeds each of $175, $200, $225, and $250, respectively (the “Vesting Price Threshold”), prior to June 7, 2030. The option also vests if the Company engages in a Corporate Transaction, as defined in the Plan, in which the Company’s Class A common stock is valued at or above the Vesting Price Threshold. The fair value of the 2022 CEO Grant was determined using a Monte Carlo simulation. The fair value of the award at the grant date was $18.8 million and is being amortized over derived service periods ranging from 3.4 years to 4.1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only stock option awarded during the years ended December 31, 2023, 2022, and 2021 was the 2022 CEO Grant. The following table summarizes the assumptions used to estimate the fair value of the 2022 CEO stock option grant:</w:t>
      </w:r>
    </w:p>
    <w:p>
      <w:pPr>
        <w:pStyle w:val="TextBody"/>
        <w:bidi w:val="0"/>
        <w:spacing w:before="0" w:after="0"/>
        <w:ind w:left="0" w:right="0" w:firstLine="360"/>
        <w:jc w:val="left"/>
        <w:rPr/>
      </w:pPr>
      <w:r>
        <w:rPr/>
      </w:r>
    </w:p>
    <w:tbl>
      <w:tblPr>
        <w:tblW w:w="4732" w:type="dxa"/>
        <w:jc w:val="left"/>
        <w:tblInd w:w="0" w:type="dxa"/>
        <w:tblLayout w:type="fixed"/>
        <w:tblCellMar>
          <w:top w:w="28" w:type="dxa"/>
          <w:left w:w="28" w:type="dxa"/>
          <w:bottom w:w="28" w:type="dxa"/>
          <w:right w:w="28" w:type="dxa"/>
        </w:tblCellMar>
      </w:tblPr>
      <w:tblGrid>
        <w:gridCol w:w="760"/>
        <w:gridCol w:w="668"/>
        <w:gridCol w:w="672"/>
        <w:gridCol w:w="175"/>
        <w:gridCol w:w="175"/>
        <w:gridCol w:w="176"/>
        <w:gridCol w:w="146"/>
        <w:gridCol w:w="146"/>
        <w:gridCol w:w="146"/>
        <w:gridCol w:w="219"/>
        <w:gridCol w:w="219"/>
        <w:gridCol w:w="221"/>
        <w:gridCol w:w="146"/>
        <w:gridCol w:w="146"/>
        <w:gridCol w:w="146"/>
        <w:gridCol w:w="167"/>
        <w:gridCol w:w="167"/>
        <w:gridCol w:w="237"/>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Risk-free interest rate</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3.01%</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Expected term (in years)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Expected volatility</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70%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Expected dividend yield</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Not applicable because no stock options were granted during the period.</w:t>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Each Vesting Price Threshold for the 2022 CEO grant has a unique expected term ranging from 3.4 years to 4.1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53670"/>
                <wp:effectExtent l="0" t="0" r="0" b="0"/>
                <wp:wrapNone/>
                <wp:docPr id="97" name="Frame9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stock option activity for the years ended December 31, 2023, 2022, and 2021:</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676"/>
        <w:gridCol w:w="595"/>
        <w:gridCol w:w="596"/>
        <w:gridCol w:w="514"/>
        <w:gridCol w:w="509"/>
        <w:gridCol w:w="343"/>
        <w:gridCol w:w="109"/>
        <w:gridCol w:w="109"/>
        <w:gridCol w:w="109"/>
        <w:gridCol w:w="348"/>
        <w:gridCol w:w="1068"/>
        <w:gridCol w:w="180"/>
        <w:gridCol w:w="109"/>
        <w:gridCol w:w="109"/>
        <w:gridCol w:w="109"/>
        <w:gridCol w:w="784"/>
        <w:gridCol w:w="784"/>
        <w:gridCol w:w="787"/>
        <w:gridCol w:w="109"/>
        <w:gridCol w:w="109"/>
        <w:gridCol w:w="109"/>
        <w:gridCol w:w="350"/>
        <w:gridCol w:w="1426"/>
        <w:gridCol w:w="264"/>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Aggregate Intrinsic Value (in thousands)</w:t>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2020</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3,399,240 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503,174 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(423,824)</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43,525 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(4,100)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(17,960)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2021</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2,953,356 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15.16 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147,812 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700,000 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(937,217)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32,858 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(7,900)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(10,280)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2022</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2,697,959 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45,867 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(98,610)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3,387 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2023</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2,599,349 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53,089 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Exercisable at December 31, 2023</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1,899,349 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53,089 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 stock options were vested during the year ended December 31, 2023. The total fair value of stock options that vested during the years ended December 31, 2022 and 2021 was $0.9 million and $10.8 million, respectively. As of December 31, 2023, the total compensation cost related to unvested stock options not yet recognized, which relates exclusively to the 2022 CEO Grant, was $10.9 million. This amount will be recognized over a remaining weighted average period of 2.20 years.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53670"/>
                <wp:effectExtent l="0" t="0" r="0" b="0"/>
                <wp:wrapNone/>
                <wp:docPr id="98" name="Frame9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Restricted Stock Units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RSU activity for the years ended December 31, 2023, 2022, and 2021:</w:t>
      </w:r>
    </w:p>
    <w:p>
      <w:pPr>
        <w:pStyle w:val="TextBody"/>
        <w:bidi w:val="0"/>
        <w:spacing w:before="0" w:after="0"/>
        <w:ind w:left="0" w:right="0" w:firstLine="360"/>
        <w:jc w:val="left"/>
        <w:rPr/>
      </w:pPr>
      <w:r>
        <w:rPr/>
      </w:r>
    </w:p>
    <w:tbl>
      <w:tblPr>
        <w:tblW w:w="9504" w:type="dxa"/>
        <w:jc w:val="left"/>
        <w:tblInd w:w="0" w:type="dxa"/>
        <w:tblLayout w:type="fixed"/>
        <w:tblCellMar>
          <w:top w:w="28" w:type="dxa"/>
          <w:left w:w="28" w:type="dxa"/>
          <w:bottom w:w="28" w:type="dxa"/>
          <w:right w:w="28" w:type="dxa"/>
        </w:tblCellMar>
      </w:tblPr>
      <w:tblGrid>
        <w:gridCol w:w="1547"/>
        <w:gridCol w:w="1362"/>
        <w:gridCol w:w="1365"/>
        <w:gridCol w:w="514"/>
        <w:gridCol w:w="514"/>
        <w:gridCol w:w="516"/>
        <w:gridCol w:w="109"/>
        <w:gridCol w:w="109"/>
        <w:gridCol w:w="109"/>
        <w:gridCol w:w="701"/>
        <w:gridCol w:w="2147"/>
        <w:gridCol w:w="511"/>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Weighted Average Grant Date Fair Value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2020</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1,165,003 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46.04 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488,462 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108.98 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(354,130)</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(89,806)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62.72 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2021</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1,209,529 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70.99 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606,203 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52.63 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(403,648)</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58.63 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(221,364)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70.30 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2022</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1,190,720 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65.97 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710,278 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42.52 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(668,119)</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58.64 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(154,815)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62.73 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2023</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1,078,064 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55.52 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2023, total unrecognized compensation cost related to unvested RSUs was approximately $41.8 million, which will be recognized over a weighted average period of 1.4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the components of our stock-based compensation expense by instrument type for the years ended December 31, 2023, 2022, and 2021 (in thousands):</w:t>
      </w:r>
    </w:p>
    <w:p>
      <w:pPr>
        <w:pStyle w:val="TextBody"/>
        <w:bidi w:val="0"/>
        <w:spacing w:before="0" w:after="0"/>
        <w:ind w:left="0" w:right="0" w:firstLine="360"/>
        <w:jc w:val="left"/>
        <w:rPr/>
      </w:pPr>
      <w:r>
        <w:rPr/>
      </w:r>
    </w:p>
    <w:tbl>
      <w:tblPr>
        <w:tblW w:w="7587" w:type="dxa"/>
        <w:jc w:val="center"/>
        <w:tblInd w:w="0" w:type="dxa"/>
        <w:tblLayout w:type="fixed"/>
        <w:tblCellMar>
          <w:top w:w="28" w:type="dxa"/>
          <w:left w:w="28" w:type="dxa"/>
          <w:bottom w:w="28" w:type="dxa"/>
          <w:right w:w="28" w:type="dxa"/>
        </w:tblCellMar>
      </w:tblPr>
      <w:tblGrid>
        <w:gridCol w:w="1325"/>
        <w:gridCol w:w="1163"/>
        <w:gridCol w:w="1187"/>
        <w:gridCol w:w="211"/>
        <w:gridCol w:w="751"/>
        <w:gridCol w:w="109"/>
        <w:gridCol w:w="109"/>
        <w:gridCol w:w="109"/>
        <w:gridCol w:w="109"/>
        <w:gridCol w:w="211"/>
        <w:gridCol w:w="751"/>
        <w:gridCol w:w="109"/>
        <w:gridCol w:w="109"/>
        <w:gridCol w:w="109"/>
        <w:gridCol w:w="109"/>
        <w:gridCol w:w="211"/>
        <w:gridCol w:w="75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Common stock awards to Board of Directors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stock-based compensation expense by line item in the accompanying consolidated statements of operations for the years ended December 31, 2023, 2022, and 2021 (in thousands):</w:t>
      </w:r>
    </w:p>
    <w:p>
      <w:pPr>
        <w:pStyle w:val="TextBody"/>
        <w:bidi w:val="0"/>
        <w:spacing w:before="0" w:after="0"/>
        <w:ind w:left="0" w:right="0" w:firstLine="360"/>
        <w:jc w:val="left"/>
        <w:rPr/>
      </w:pPr>
      <w:r>
        <w:rPr/>
      </w:r>
    </w:p>
    <w:tbl>
      <w:tblPr>
        <w:tblW w:w="7331" w:type="dxa"/>
        <w:jc w:val="center"/>
        <w:tblInd w:w="0" w:type="dxa"/>
        <w:tblLayout w:type="fixed"/>
        <w:tblCellMar>
          <w:top w:w="28" w:type="dxa"/>
          <w:left w:w="28" w:type="dxa"/>
          <w:bottom w:w="28" w:type="dxa"/>
          <w:right w:w="28" w:type="dxa"/>
        </w:tblCellMar>
      </w:tblPr>
      <w:tblGrid>
        <w:gridCol w:w="1239"/>
        <w:gridCol w:w="1087"/>
        <w:gridCol w:w="1093"/>
        <w:gridCol w:w="211"/>
        <w:gridCol w:w="751"/>
        <w:gridCol w:w="109"/>
        <w:gridCol w:w="109"/>
        <w:gridCol w:w="109"/>
        <w:gridCol w:w="109"/>
        <w:gridCol w:w="211"/>
        <w:gridCol w:w="751"/>
        <w:gridCol w:w="109"/>
        <w:gridCol w:w="109"/>
        <w:gridCol w:w="109"/>
        <w:gridCol w:w="109"/>
        <w:gridCol w:w="211"/>
        <w:gridCol w:w="75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Cost of revenue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53670"/>
                <wp:effectExtent l="0" t="0" r="0" b="0"/>
                <wp:wrapNone/>
                <wp:docPr id="99" name="Frame9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96</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11. Stockholders' Equity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authorized 500,000,000 shares of Class A common stock and 100,000,000 shares of Class B common stock, each with a par value of $0.0001 per share. As of December 31, 2023, our shares of Class A common stock, which are publicly traded on the Nasdaq Global Market, totaled 42,169,970 issued and outstanding while our Class B common stock, which are not publicly traded, totaled 31,196,796 issued and outstanding. The rights of the holders of Class A common stock and Class B common stock are identical, except with respect to voting and conversion rights. The holders of Class A common stock are entitled to one vote per share, and the holders of Class B common stock are entitled to ten votes per share on all matters subject to stockholder vote. The holders of Class B common stock also have approval rights for certain corporate actions. Each share of Class B common stock may be converted into one share of Class A common stock at the option of its holder and will be automatically converted upon transfer thereof, subject to certain exceptions. In addition, upon the date on which the outstanding shares of Class B common stock represent less than 10% of the aggregate voting power of our capital stock, all outstanding shares of Class B common stock will convert automatically into Class A common stock.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12. Basic and Diluted Loss per Common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the computation of basic and diluted net loss per share for the years ended December 31, 2023, 2022, and 2021 (in thousands, except share and per share data):</w:t>
      </w:r>
    </w:p>
    <w:p>
      <w:pPr>
        <w:pStyle w:val="TextBody"/>
        <w:bidi w:val="0"/>
        <w:spacing w:before="0" w:after="0"/>
        <w:ind w:left="0" w:right="0" w:firstLine="360"/>
        <w:jc w:val="left"/>
        <w:rPr/>
      </w:pPr>
      <w:r>
        <w:rPr/>
      </w:r>
    </w:p>
    <w:tbl>
      <w:tblPr>
        <w:tblW w:w="9866" w:type="dxa"/>
        <w:jc w:val="left"/>
        <w:tblInd w:w="0" w:type="dxa"/>
        <w:tblLayout w:type="fixed"/>
        <w:tblCellMar>
          <w:top w:w="28" w:type="dxa"/>
          <w:left w:w="28" w:type="dxa"/>
          <w:bottom w:w="28" w:type="dxa"/>
          <w:right w:w="28" w:type="dxa"/>
        </w:tblCellMar>
      </w:tblPr>
      <w:tblGrid>
        <w:gridCol w:w="1951"/>
        <w:gridCol w:w="1720"/>
        <w:gridCol w:w="1729"/>
        <w:gridCol w:w="211"/>
        <w:gridCol w:w="946"/>
        <w:gridCol w:w="109"/>
        <w:gridCol w:w="109"/>
        <w:gridCol w:w="109"/>
        <w:gridCol w:w="109"/>
        <w:gridCol w:w="211"/>
        <w:gridCol w:w="946"/>
        <w:gridCol w:w="109"/>
        <w:gridCol w:w="109"/>
        <w:gridCol w:w="109"/>
        <w:gridCol w:w="109"/>
        <w:gridCol w:w="243"/>
        <w:gridCol w:w="883"/>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Numerator:</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Denominator:</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common shares outstanding, basic and diluted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72,455,175 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71,036,490 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 per share,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Due to net losses for the years ended December 31, 2023, 2022, and 2021, basic and diluted net loss per share were equal as the effect of potentially dilutive securities would have been antidilutive.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outstanding securities, prior to the use of the treasury stock method, have been excluded from the computation of diluted weighted-average shares outstanding for the respective periods below because they would have been antidilutive to earnings per share:</w:t>
      </w:r>
    </w:p>
    <w:p>
      <w:pPr>
        <w:pStyle w:val="TextBody"/>
        <w:bidi w:val="0"/>
        <w:spacing w:before="0" w:after="0"/>
        <w:ind w:left="0" w:right="0" w:firstLine="360"/>
        <w:jc w:val="left"/>
        <w:rPr/>
      </w:pPr>
      <w:r>
        <w:rPr/>
      </w:r>
    </w:p>
    <w:tbl>
      <w:tblPr>
        <w:tblW w:w="7273" w:type="dxa"/>
        <w:jc w:val="left"/>
        <w:tblInd w:w="0" w:type="dxa"/>
        <w:tblLayout w:type="fixed"/>
        <w:tblCellMar>
          <w:top w:w="28" w:type="dxa"/>
          <w:left w:w="28" w:type="dxa"/>
          <w:bottom w:w="28" w:type="dxa"/>
          <w:right w:w="28" w:type="dxa"/>
        </w:tblCellMar>
      </w:tblPr>
      <w:tblGrid>
        <w:gridCol w:w="994"/>
        <w:gridCol w:w="871"/>
        <w:gridCol w:w="880"/>
        <w:gridCol w:w="510"/>
        <w:gridCol w:w="511"/>
        <w:gridCol w:w="176"/>
        <w:gridCol w:w="146"/>
        <w:gridCol w:w="146"/>
        <w:gridCol w:w="146"/>
        <w:gridCol w:w="510"/>
        <w:gridCol w:w="511"/>
        <w:gridCol w:w="176"/>
        <w:gridCol w:w="146"/>
        <w:gridCol w:w="146"/>
        <w:gridCol w:w="146"/>
        <w:gridCol w:w="510"/>
        <w:gridCol w:w="511"/>
        <w:gridCol w:w="237"/>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 options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2,599,349 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2,697,959 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2,953,356 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Non-vested restricted stock units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1,078,064 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1,190,720 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1,209,529 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13. Commitments and Contingencies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Minimum Purchase Commitments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a non-cancellable cloud hosting arrangement with Amazon Web Services (“AWS”) that contains provisions for minimum purchase commitments. Specifically, purchase commitments under the agreement total $131.0 million over five years. The agreement, which started July 2021 and is now in its third year as of December 31, 2023, contains minimum spending requirements of $28.0 million in each of the third, fourth, and fifth years. Spending under this agreement for the year ended December 31, 2023, 2022, and 2021 totaled $36.6 million, $33.1 million, and $11.8 million, respectively. The timing of payments under the agreement may vary.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53670"/>
                <wp:effectExtent l="0" t="0" r="0" b="0"/>
                <wp:wrapNone/>
                <wp:docPr id="100" name="Frame9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Exclusive of the AWS contract, we have other non-cancellable agreements for subscription software products that contain provisions stipulating minimum purchase commitments. However, the annual purchase commitments under these contracts are, individually and in the aggregate, immaterial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Pegasystems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On May 29, 2020, we filed a civil complaint against Pegasystems, Inc. (“Pegasystems”) and Youyong Zou, a Virginia resident, in the Circuit Court for Fairfax County, Virginia. </w:t>
      </w:r>
      <w:r>
        <w:rPr>
          <w:rFonts w:ascii="Tahoma;sans-serif" w:hAnsi="Tahoma;sans-serif"/>
          <w:b w:val="false"/>
          <w:i/>
          <w:color w:val="000000"/>
          <w:sz w:val="20"/>
        </w:rPr>
        <w:t>Appian Corp v. Pegasystems Inc. &amp; Youyong Zou, No. 2020-07216 (Fairfax Cty. Ct.)</w:t>
      </w:r>
      <w:r>
        <w:rPr>
          <w:rFonts w:ascii="Tahoma;sans-serif" w:hAnsi="Tahoma;sans-serif"/>
          <w:b w:val="false"/>
          <w:color w:val="000000"/>
          <w:sz w:val="20"/>
        </w:rPr>
        <w:t>.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Defendant Youyong Zou has satisfied the judgment of $5,000 (plus interest) against him in lieu of appealing that judgment. On September 15, 2022, Pegasystems filed a notice of appeal to the Court of Appeals of Virginia. Both sides have submitted their respective appeal briefs to the Court of Appeals, and the Court held a hearing on the appeal on November 15, 2023. The timeline of the case is solely within the control of the Court of Appeals until it rules. Pegasystems is not required to pay us the judgment, attorney’s fees, or post-judgment interest until all appeals are exhausted. We cannot predict the outcome of any appeals or the exact time it will take to resolve them. Consistent with other judgments, there is no guarantee we will be able to collect all or any portion of the judgment. Consequently, we will not record the award in our consolidated financial statements until all contingencies are resolved and we collect on the judgment.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Judgment Preservation Insurance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September 1, 2023, we entered into a Judgment Preservation Insurance (“JPI”) policy in connection with our $2.036 billion judgment against Pegasystems. The total cost of the policy was $57.3 million and is comprised of the premium, a one-time broker fee, and Virginia lines tax. The policy provides up to $500.0 million of coverage.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total cost of the policy was capitalized and will be amortized on a straight-line basis over the estimated length of the appeals process. As of December 31, 2023, we estimated the length of the appeals process (solely for amortization purposes) to be approximately three years. This estimate will be updated each reporting period. Amortization expense associated with the JPI premium is recorded to general and administrative expenses in our consolidated statements of operations. JPI amortization expense was $6.0 million for the year ended December 31, 2023. As of December 31, 2023, $18.1 million of the unamortized balance is classified as ‘Prepaid expenses and other current assets’ while the remaining $33.2 million is classified as ‘Other assets’ on our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Legal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From time to time, we are subject to legal, regulatory, and other proceedings and claims that arise in the ordinary course of business. Other than as disclosed elsewhere in this Annual Report,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53670"/>
                <wp:effectExtent l="0" t="0" r="0" b="0"/>
                <wp:wrapNone/>
                <wp:docPr id="101" name="Frame9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14. Segment and Geographic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by geography for the years ended December 31, 2023, 2022, and 2021 (in thousands):</w:t>
      </w:r>
    </w:p>
    <w:p>
      <w:pPr>
        <w:pStyle w:val="TextBody"/>
        <w:bidi w:val="0"/>
        <w:spacing w:before="0" w:after="0"/>
        <w:ind w:left="0" w:right="0" w:firstLine="360"/>
        <w:jc w:val="left"/>
        <w:rPr/>
      </w:pPr>
      <w:r>
        <w:rPr/>
      </w:r>
    </w:p>
    <w:tbl>
      <w:tblPr>
        <w:tblW w:w="5368" w:type="dxa"/>
        <w:jc w:val="left"/>
        <w:tblInd w:w="0" w:type="dxa"/>
        <w:tblLayout w:type="fixed"/>
        <w:tblCellMar>
          <w:top w:w="28" w:type="dxa"/>
          <w:left w:w="28" w:type="dxa"/>
          <w:bottom w:w="28" w:type="dxa"/>
          <w:right w:w="28" w:type="dxa"/>
        </w:tblCellMar>
      </w:tblPr>
      <w:tblGrid>
        <w:gridCol w:w="413"/>
        <w:gridCol w:w="362"/>
        <w:gridCol w:w="366"/>
        <w:gridCol w:w="211"/>
        <w:gridCol w:w="856"/>
        <w:gridCol w:w="109"/>
        <w:gridCol w:w="109"/>
        <w:gridCol w:w="109"/>
        <w:gridCol w:w="109"/>
        <w:gridCol w:w="211"/>
        <w:gridCol w:w="856"/>
        <w:gridCol w:w="109"/>
        <w:gridCol w:w="109"/>
        <w:gridCol w:w="109"/>
        <w:gridCol w:w="109"/>
        <w:gridCol w:w="211"/>
        <w:gridCol w:w="85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350,210 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369,259 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With respect to geographic information, revenue is attributed to respective geographies based on the contracting address of the customer. The value of our long-lived assets, which are comprised of property and equipment and intangible assets, held in the United States and internationally as of December 31, 2023 were $34.0 million and $12.6 million, respectively. As of December 31, 2022, our long-lived assets held in the United States and internationally were $38.8 million and $8.3 million,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15. Retirement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a defined contribution 401(k) retirement and savings plan (the “Plan”) to provide retirement benefits for all eligible employees. With limited exceptions, all employees over the age of 21 on the first day of the month immediately following the month of hiring are eligible to participate in the Plan. The Plan allows eligible employees to make salary-deferred contributions up to 75% of their pre-tax annual compensation, as defined in the Plan, as long as the total contributed does not exceed the annual maximum allowable amount under the Internal Revenue Code. The Company makes a semi-monthly matching contribution of 100% of the employee's contribution for that pay period, up to a maximum of 4% of the employee's eligible gross compensation for that pay period. Company contributions vest ratably based on years of service over a four year period, beginning with the completion of the first year of service. For the years ended December 31, 2023, 2022, and 2021, we incurred $12.9 million, $11.5 million, and $8.7 million, respectively, in contribution expense related to employer matching contributions.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16. Investments and 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U.S. 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Level 1 - </w:t>
      </w:r>
      <w:r>
        <w:rPr>
          <w:rFonts w:ascii="Tahoma;sans-serif" w:hAnsi="Tahoma;sans-serif"/>
          <w:b w:val="false"/>
          <w:color w:val="000000"/>
          <w:sz w:val="20"/>
        </w:rPr>
        <w:t>Observable inputs based on unadjusted quoted prices in active markets for identical assets or liabilities;</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Level 2 - </w:t>
      </w:r>
      <w:r>
        <w:rPr>
          <w:rFonts w:ascii="Tahoma;sans-serif" w:hAnsi="Tahoma;sans-serif"/>
          <w:b w:val="false"/>
          <w:color w:val="000000"/>
          <w:sz w:val="20"/>
        </w:rPr>
        <w:t>Inputs, other than quoted prices in active markets, that are observable either directly or indirectly; and</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Level 3 - </w:t>
      </w:r>
      <w:r>
        <w:rPr>
          <w:rFonts w:ascii="Tahoma;sans-serif" w:hAnsi="Tahoma;sans-serif"/>
          <w:b w:val="false"/>
          <w:color w:val="000000"/>
          <w:sz w:val="20"/>
        </w:rPr>
        <w:t>Unobservable inputs for which there is little or no market data, and which require us to develop our own estimates and assumptions reflecting those that a market participant would use.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asset or liability’s fair value measurement level within the fair value hierarchy is based on the lowest level of any input that is significant to the fair value measurement. There were no instruments measured at fair value on a recurring basis using significant unobservable inputs during the years ended December 31, 2023 and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valuation techniques that may be used to measure fair value are as follows: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53670"/>
                <wp:effectExtent l="0" t="0" r="0" b="0"/>
                <wp:wrapNone/>
                <wp:docPr id="102" name="Frame9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Market approach -</w:t>
      </w:r>
      <w:r>
        <w:rPr>
          <w:color w:val="000000"/>
        </w:rPr>
        <w:t xml:space="preserve"> </w:t>
      </w:r>
      <w:r>
        <w:rPr>
          <w:rFonts w:ascii="Tahoma;sans-serif" w:hAnsi="Tahoma;sans-serif"/>
          <w:b w:val="false"/>
          <w:color w:val="000000"/>
          <w:sz w:val="20"/>
        </w:rPr>
        <w:t xml:space="preserve">Uses prices and other relevant information generated by market transactions involving identical or comparable assets or liabilities; </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Income approach - </w:t>
      </w:r>
      <w:r>
        <w:rPr>
          <w:rFonts w:ascii="Tahoma;sans-serif" w:hAnsi="Tahoma;sans-serif"/>
          <w:b w:val="false"/>
          <w:color w:val="000000"/>
          <w:sz w:val="20"/>
        </w:rPr>
        <w:t>Uses valuation techniques to convert future amounts to a single present amount based on current market expectations about those future amounts; and</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Cost approach -</w:t>
      </w:r>
      <w:r>
        <w:rPr>
          <w:color w:val="000000"/>
        </w:rPr>
        <w:t xml:space="preserve"> </w:t>
      </w:r>
      <w:r>
        <w:rPr>
          <w:rFonts w:ascii="Tahoma;sans-serif" w:hAnsi="Tahoma;sans-serif"/>
          <w:b w:val="false"/>
          <w:color w:val="000000"/>
          <w:sz w:val="20"/>
        </w:rPr>
        <w:t>Based on the amount that currently would be required to replace the service capacity of an asset (i.e., replacement cost).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carrying amounts of our restricted cash, accounts receivable, accounts payable, and accrued expenses approximate fair value as of December 31, 2023 and 2022 because of the relatively short duration of these instruments. Additionally, the carrying value of our debt associated with the term loan facility approximates fair value because the interest rates are variable and reset on relatively short durations to the then market rates.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investment portfolio consists largely of debt investments classified as available-for-sale. Changes in the fair value of available-for-sale securities, excluding other-than-temporary impairments, are recorded in Accumulated other comprehensive loss in our consolidated balance sheets. The components of our investments as of December 31, 2023 and 2022 are as follows (in thousands):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2"/>
        <w:gridCol w:w="284"/>
        <w:gridCol w:w="279"/>
        <w:gridCol w:w="230"/>
        <w:gridCol w:w="230"/>
        <w:gridCol w:w="231"/>
        <w:gridCol w:w="109"/>
        <w:gridCol w:w="109"/>
        <w:gridCol w:w="109"/>
        <w:gridCol w:w="211"/>
        <w:gridCol w:w="751"/>
        <w:gridCol w:w="109"/>
        <w:gridCol w:w="109"/>
        <w:gridCol w:w="109"/>
        <w:gridCol w:w="109"/>
        <w:gridCol w:w="336"/>
        <w:gridCol w:w="647"/>
        <w:gridCol w:w="175"/>
        <w:gridCol w:w="109"/>
        <w:gridCol w:w="109"/>
        <w:gridCol w:w="109"/>
        <w:gridCol w:w="211"/>
        <w:gridCol w:w="856"/>
        <w:gridCol w:w="109"/>
        <w:gridCol w:w="109"/>
        <w:gridCol w:w="109"/>
        <w:gridCol w:w="109"/>
        <w:gridCol w:w="247"/>
        <w:gridCol w:w="1003"/>
        <w:gridCol w:w="127"/>
        <w:gridCol w:w="109"/>
        <w:gridCol w:w="109"/>
        <w:gridCol w:w="109"/>
        <w:gridCol w:w="355"/>
        <w:gridCol w:w="1091"/>
        <w:gridCol w:w="186"/>
        <w:gridCol w:w="109"/>
        <w:gridCol w:w="161"/>
      </w:tblGrid>
      <w:tr>
        <w:trPr/>
        <w:tc>
          <w:tcPr>
            <w:tcW w:w="6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As of December 31, 2023</w:t>
            </w:r>
          </w:p>
        </w:tc>
        <w:tc>
          <w:tcPr>
            <w:tcW w:w="270" w:type="dxa"/>
            <w:gridSpan w:val="2"/>
            <w:tcBorders/>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70" w:type="dxa"/>
            <w:gridSpan w:val="2"/>
            <w:tcBorders/>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93,029 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56,322 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Agency bonds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9,653 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2022, our investments consisted of the following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32"/>
        <w:gridCol w:w="283"/>
        <w:gridCol w:w="278"/>
        <w:gridCol w:w="230"/>
        <w:gridCol w:w="230"/>
        <w:gridCol w:w="231"/>
        <w:gridCol w:w="109"/>
        <w:gridCol w:w="109"/>
        <w:gridCol w:w="109"/>
        <w:gridCol w:w="211"/>
        <w:gridCol w:w="751"/>
        <w:gridCol w:w="109"/>
        <w:gridCol w:w="109"/>
        <w:gridCol w:w="109"/>
        <w:gridCol w:w="109"/>
        <w:gridCol w:w="335"/>
        <w:gridCol w:w="646"/>
        <w:gridCol w:w="175"/>
        <w:gridCol w:w="109"/>
        <w:gridCol w:w="109"/>
        <w:gridCol w:w="109"/>
        <w:gridCol w:w="211"/>
        <w:gridCol w:w="856"/>
        <w:gridCol w:w="109"/>
        <w:gridCol w:w="109"/>
        <w:gridCol w:w="109"/>
        <w:gridCol w:w="109"/>
        <w:gridCol w:w="246"/>
        <w:gridCol w:w="1001"/>
        <w:gridCol w:w="127"/>
        <w:gridCol w:w="109"/>
        <w:gridCol w:w="109"/>
        <w:gridCol w:w="109"/>
        <w:gridCol w:w="323"/>
        <w:gridCol w:w="1150"/>
        <w:gridCol w:w="166"/>
        <w:gridCol w:w="109"/>
        <w:gridCol w:w="161"/>
      </w:tblGrid>
      <w:tr>
        <w:trPr/>
        <w:tc>
          <w:tcPr>
            <w:tcW w:w="6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 xml:space="preserve">As of </w:t>
            </w:r>
            <w:r>
              <w:rPr>
                <w:rFonts w:ascii="Tahoma;sans-serif" w:hAnsi="Tahoma;sans-serif"/>
                <w:b/>
                <w:color w:val="000000"/>
                <w:sz w:val="20"/>
              </w:rPr>
              <w:t>December 31, 2022</w:t>
            </w:r>
          </w:p>
        </w:tc>
        <w:tc>
          <w:tcPr>
            <w:tcW w:w="270" w:type="dxa"/>
            <w:gridSpan w:val="2"/>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70" w:type="dxa"/>
            <w:gridSpan w:val="2"/>
            <w:tcBorders/>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108,663 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39,469 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Commercial paper</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Corporate bonds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Agency bonds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148,132 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47,863 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There were no Level 3 assets held at any point during the years ended December 31, 2023 and 2022. Additionally, there were no transfers between Levels 1 and 2 during the years ended December 31,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53670"/>
                <wp:effectExtent l="0" t="0" r="0" b="0"/>
                <wp:wrapNone/>
                <wp:docPr id="103" name="Frame10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Interest income on our investments totaled $9.0 million and $0.9 million for the years ended December 31, 2023 and 2022, respectively. Interest income on investments was immaterial for the year ended December 31, 2021.</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contractual maturities of our debt securities as of December 31, 2023 and 2022 are all one year or less. Actual maturities may differ from contractual maturities because borrowers have the right to call or prepay certain obligations.</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53670"/>
                <wp:effectExtent l="0" t="0" r="0" b="0"/>
                <wp:wrapNone/>
                <wp:docPr id="104" name="Frame10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 Changes in and Disagreements with Accountants on Accounting and Financial Disclosure.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None.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Evaluation of Disclosure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maintain “disclosure controls and procedures,” as defined in Rule 13a-15(e) and Rule 15d-15(e) under the Exchange Act that are designed to ensure information required to be disclosed by a company in the reports it files or submits under the Exchange Act is recorded, processed, summarized, and reported within the time periods specified in the SEC’s rules and forms. Disclosure controls and procedures include, without limitation, controls and procedures designed to ensure information required to be disclosed by a company in the reports it files or submits under the Exchange Act is accumulated and communicated to its management, including its principal executive and principal financial officers,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with the participation of our Chief Executive Officer and our Chief Financial Officer, evaluated the effectiveness of our disclosure controls and procedures as of December 31, 2023. Based on the evaluation of our disclosure controls and procedures as of December 31, 2023, our Chief Executive Officer and Chief Financial Officer concluded, as of such date, our disclosure controls and procedures were effective at the reasonable assurance level.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Management's Annual Report on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is responsible for establishing and maintaining adequate internal control over financial reporting, as such term is defined in Rules 13a-15(f) and 15(d)-15(f) of the Exchange Act. Our management assessed the effectiveness of our internal control over financial reporting as of December 31, 2023 based on the criteria set forth by the Committee of Sponsoring Organizations of the Treadway Commission (“COSO”) in Internal Control - Integrated Framework (2013). Based on this assessment, management concluded that, as of December 31, 2023, our internal control over financial reporting was effective.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Annual Report on Form 10-K includes an attestation report of our independent registered public accounting firm regarding internal control over financial reporting, which appears in Part II, Item 8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Changes in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have been no material changes in our internal control over financial reporting that occurred during the quarter ended December 31, 2023 that have materially affected, or are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Inherent Limitations on Effectiveness of Controls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management, including our Chief Executive Officer and Chief Financial Officer, believes our disclosure controls and procedures and internal control over financial reporting are designed to provide reasonable assurance of achieving their objectives and are effective at the reasonable assurance level. However, our management does not expect our disclosure controls and procedures or our internal control over financial reporting will prevent all errors and all fraud. A control system, no matter how well conceived and operated, can provide only reasonable, not absolute, assurance the objectives of the control system are met. Further, the design of a control system must reflect the fact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53670"/>
                <wp:effectExtent l="0" t="0" r="0" b="0"/>
                <wp:wrapNone/>
                <wp:docPr id="105" name="Frame10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also is based in part upon certain assumptions about the likelihood of future events, and there can be no assurance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9B. Other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set forth below is included herein for purposes of providing disclosure under Form 8-K.</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Item 8.01 Other Events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February 12, 2024, we entered into a Joinder and Fourth Amendment to our Credit Agreement with MUFG Bank, Ltd., Wells Fargo Bank, National Association, Comerica Bank, Customers Bank, TD Bank N.A., Scotiabank, and Silicon Valley Bank, a division of First-Citizens Bank &amp; Trust Company (the “Fourth Amendment”), to add TD Bank, N.A. and Scotiabank as additional lenders, increase the total aggregate term loan facility to $200.0 million and revolving credit facility to $100.0 million, and amend certain covenants and definitions.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foregoing description of the Fourth Amendment does not purport to be complete and is qualified in its entirety by reference to the Fourth Amendment, a copy of which will be filed as an exhibit to the Company’s Quarterly Report on Form 10-Q for the quarter ending March 31,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Rule 10b5-1 Trading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shd w:fill="FFFFFF" w:val="clear"/>
        </w:rPr>
        <w:t xml:space="preserve">The adoption or termination of contracts, instructions, or written plans for the purchase or sale of our securities by our Section 16 officers and directors for the </w:t>
      </w:r>
      <w:r>
        <w:rPr>
          <w:rFonts w:ascii="Tahoma;sans-serif" w:hAnsi="Tahoma;sans-serif"/>
          <w:b w:val="false"/>
          <w:color w:val="000000"/>
          <w:sz w:val="20"/>
        </w:rPr>
        <w:t>three months ended December 31, 2023</w:t>
      </w:r>
      <w:r>
        <w:rPr>
          <w:rFonts w:ascii="Tahoma;sans-serif" w:hAnsi="Tahoma;sans-serif"/>
          <w:b w:val="false"/>
          <w:color w:val="000000"/>
          <w:sz w:val="20"/>
          <w:shd w:fill="FFFFFF" w:val="clear"/>
        </w:rPr>
        <w:t>, each of which is intended to satisfy the affirmative defense conditions of Rule 10b5-1(c) under the Exchange Act (“Rule 10b5-1 Plan”), were as follows: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06"/>
        <w:gridCol w:w="354"/>
        <w:gridCol w:w="359"/>
        <w:gridCol w:w="109"/>
        <w:gridCol w:w="109"/>
        <w:gridCol w:w="109"/>
        <w:gridCol w:w="576"/>
        <w:gridCol w:w="576"/>
        <w:gridCol w:w="584"/>
        <w:gridCol w:w="109"/>
        <w:gridCol w:w="109"/>
        <w:gridCol w:w="109"/>
        <w:gridCol w:w="279"/>
        <w:gridCol w:w="279"/>
        <w:gridCol w:w="283"/>
        <w:gridCol w:w="109"/>
        <w:gridCol w:w="109"/>
        <w:gridCol w:w="109"/>
        <w:gridCol w:w="337"/>
        <w:gridCol w:w="337"/>
        <w:gridCol w:w="339"/>
        <w:gridCol w:w="109"/>
        <w:gridCol w:w="109"/>
        <w:gridCol w:w="109"/>
        <w:gridCol w:w="382"/>
        <w:gridCol w:w="382"/>
        <w:gridCol w:w="384"/>
        <w:gridCol w:w="109"/>
        <w:gridCol w:w="109"/>
        <w:gridCol w:w="109"/>
        <w:gridCol w:w="790"/>
        <w:gridCol w:w="790"/>
        <w:gridCol w:w="1133"/>
      </w:tblGrid>
      <w:tr>
        <w:trPr/>
        <w:tc>
          <w:tcPr>
            <w:tcW w:w="4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Date 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Aggregate # of Securities to be Purchased/Sold</w:t>
            </w:r>
          </w:p>
        </w:tc>
      </w:tr>
      <w:tr>
        <w:trPr/>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000000"/>
                <w:sz w:val="18"/>
              </w:rPr>
              <w:t xml:space="preserve">Robert Kramer </w:t>
            </w:r>
            <w:r>
              <w:rPr>
                <w:rFonts w:ascii="Tahoma;sans-serif" w:hAnsi="Tahoma;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General Manager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12/6/2023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236,382</w:t>
            </w:r>
          </w:p>
        </w:tc>
      </w:tr>
    </w:tbl>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Robert Kramer, General Manager and a member of the Board of Directors, entered into a prearranged stock trading plan pursuant to Rule 10b5-1 on December 6, 2023. Mr. Kramer’s plan provides for the potential sale of up to 236,382 shares of Appian Class A common stock. The plan expires on the earlier of the completion of all authorized transactions under the plan or March 5, 2025.</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Other than those disclosed above, none of our directors or officers adopted or terminated a "non-Rule 10b5-1 trading arrangement"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53670"/>
                <wp:effectExtent l="0" t="0" r="0" b="0"/>
                <wp:wrapNone/>
                <wp:docPr id="106" name="Frame10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III</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10. Directors, Executive Officers and Corporate Governance.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2024 Annual Meeting of Stockholders to be filed with the SEC within 120 days after the end of the fiscal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adopted a Code of Conduct, applicable to all of our employees, executive officers, and directors. The Code of Conduct is available on our website at www.appian.com. We expect any amendments to the Code of Conduct or any waivers of its requirement will be disclosed on our website (www.appian.com) as required by applicable law or the listing standards of the Nasdaq Global Market.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2024 Annual Meeting of Stockholders to be filed with the SEC within 120 days after the end of the year ended December 31, 2023.</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2024 Annual Meeting of Stockholders to be filed with the SEC within 120 days after the end of the year ended December 31, 2023.</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2024 Annual Meeting of Stockholders to be filed with the SEC within 120 days after the end of the year ended December 31,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2024 Annual Meeting of Stockholders to be filed with the SEC within 120 days after the end of the year ended December 31, 2023.</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53670"/>
                <wp:effectExtent l="0" t="0" r="0" b="0"/>
                <wp:wrapNone/>
                <wp:docPr id="107" name="Frame10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w:t>
      </w:r>
      <w:r>
        <w:rPr>
          <w:rFonts w:ascii="Tahoma;sans-serif" w:hAnsi="Tahoma;sans-serif"/>
          <w:b/>
          <w:color w:val="000000"/>
          <w:sz w:val="20"/>
        </w:rPr>
        <w:t>tem 15. Exhibits and Financial Statement Schedules.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 The following documents are filed as part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(1) Consolidated Financial Statements and Report of Independent Registered Public Accounting Firm (BDO USA, P.C.; McLean, Virginia; PCAOB ID #243) are shown in the Index to Financial Statements included in Part II, Item 8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(2) All financial statement schedules are omitted because they are not applicable or the required information is shown in the financial statements or notes thereto.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 Exhibits are incorporated herein by reference or are filed with this Annual Report on Form 10-K as indicated below.</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39"/>
        <w:gridCol w:w="109"/>
        <w:gridCol w:w="109"/>
        <w:gridCol w:w="109"/>
        <w:gridCol w:w="1244"/>
        <w:gridCol w:w="1244"/>
        <w:gridCol w:w="1256"/>
        <w:gridCol w:w="109"/>
        <w:gridCol w:w="109"/>
        <w:gridCol w:w="109"/>
        <w:gridCol w:w="1476"/>
        <w:gridCol w:w="1476"/>
        <w:gridCol w:w="2107"/>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Reference</w:t>
            </w:r>
          </w:p>
        </w:tc>
      </w:tr>
      <w:tr>
        <w:trPr/>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Certificate of Incorporation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ahoma;sans-serif" w:hAnsi="Tahoma;sans-serif"/>
                  <w:b w:val="false"/>
                  <w:color w:val="0000FF"/>
                  <w:sz w:val="18"/>
                  <w:u w:val="single"/>
                </w:rPr>
                <w:t>Previously filed as Exhibit 3.2 to Amendment No. 3 to the Company’s Registration Statement on Form S-1 (File No. 333-217510), filed with the Securities and Exchange Commission on May 12,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Bylaws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ahoma;sans-serif" w:hAnsi="Tahoma;sans-serif"/>
                  <w:b w:val="false"/>
                  <w:color w:val="0000FF"/>
                  <w:sz w:val="18"/>
                  <w:u w:val="single"/>
                </w:rPr>
                <w:t>Previously filed as Exhibit 3.4 to Amendment No. 2 to the Company’s Registration Statement on Form S-1 (File No. 333-217510), filed with the Securities and Exchange Commission on May 10,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Form of Class A common stock certificate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ahoma;sans-serif" w:hAnsi="Tahoma;sans-serif"/>
                  <w:b w:val="false"/>
                  <w:color w:val="0000FF"/>
                  <w:sz w:val="18"/>
                  <w:u w:val="single"/>
                </w:rPr>
                <w:t>Previously filed as Exhibit 4.1 to Amendment No. 3 to the Registrant’s Registration Statement on Form S-1 (File No. 333-217510), filed with the Securities and Exchange Commission on May 12,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Description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ahoma;sans-serif" w:hAnsi="Tahoma;sans-serif"/>
                  <w:b w:val="false"/>
                  <w:color w:val="0000FF"/>
                  <w:sz w:val="18"/>
                  <w:u w:val="single"/>
                </w:rPr>
                <w:t>Previously filed as Exhibit 4.3 to the Company’s Annual Report on 10-K (File No. 001-38098), filed with the Securities and Exchange Commission on February 17, 2022,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2007 Stock Option Plan and Form of Option Agreement and Exercise Notice thereunder, as amended to date.</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ahoma;sans-serif" w:hAnsi="Tahoma;sans-serif"/>
                  <w:b w:val="false"/>
                  <w:color w:val="0000FF"/>
                  <w:sz w:val="18"/>
                  <w:u w:val="single"/>
                </w:rPr>
                <w:t>Previously filed as Exhibit 10.1 to the Company’s Registration Statement on Form S-1 (File No. 333-217510), filed with the Securities and Exchange Commission on April 27,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and Forms of Stock Option Agreement, Notice of Exercise and Stock Option Grant Notice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ahoma;sans-serif" w:hAnsi="Tahoma;sans-serif"/>
                  <w:b w:val="false"/>
                  <w:color w:val="0000FF"/>
                  <w:sz w:val="18"/>
                  <w:u w:val="single"/>
                </w:rPr>
                <w:t>Previously filed as Exhibit 10.2 to Amendment No. 2 to the Company’s Registration Statement on Form S-1 (File No. 333-217510), filed with the Securities and Exchange Commission on May 10,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French Qualifying Sub-Plan, with Forms of Restricted Stock Unit Grant Notice and Restricted Stock Unit Award Agreement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ahoma;sans-serif" w:hAnsi="Tahoma;sans-serif"/>
                  <w:b w:val="false"/>
                  <w:color w:val="0000FF"/>
                  <w:sz w:val="18"/>
                  <w:u w:val="single"/>
                </w:rPr>
                <w:t>Previously filed as Exhibit 10.14 to the Company’s Annual Report on Form 10-K (File No. 001-38098), filed with the Securities and Exchange Commission on February 23, 2018,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CSOP Sub-Plan for UK Eligible Employees, with Forms of CSOP Stock Option Grant Notice and CSOP Option Agreement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ahoma;sans-serif" w:hAnsi="Tahoma;sans-serif"/>
                  <w:b w:val="false"/>
                  <w:color w:val="0000FF"/>
                  <w:sz w:val="18"/>
                  <w:u w:val="single"/>
                </w:rPr>
                <w:t>Previously filed as Exhibit 10.15 to the Company’s Annual Report on Form 10-K (File No. 001-38098), filed with the Securities and Exchange Commission on February 23, 2018,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53670"/>
                <wp:effectExtent l="0" t="0" r="0" b="0"/>
                <wp:wrapNone/>
                <wp:docPr id="108" name="Frame10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1566"/>
        <w:gridCol w:w="1209"/>
        <w:gridCol w:w="1212"/>
        <w:gridCol w:w="109"/>
        <w:gridCol w:w="109"/>
        <w:gridCol w:w="109"/>
        <w:gridCol w:w="1453"/>
        <w:gridCol w:w="1453"/>
        <w:gridCol w:w="205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Forms of Restricted Stock Unit Grant Notices and Restricted Stock Unit Award Agreements under 2017 Equity Incentive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ahoma;sans-serif" w:hAnsi="Tahoma;sans-serif"/>
                  <w:b w:val="false"/>
                  <w:color w:val="0000FF"/>
                  <w:sz w:val="18"/>
                  <w:u w:val="single"/>
                </w:rPr>
                <w:t>Previously filed as Exhibit 10.12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Forms of Restricted Stock Award Grant Notice and Restricted Stock Award Agreement under 2017 Equity Incentive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ahoma;sans-serif" w:hAnsi="Tahoma;sans-serif"/>
                  <w:b w:val="false"/>
                  <w:color w:val="0000FF"/>
                  <w:sz w:val="18"/>
                  <w:u w:val="single"/>
                </w:rPr>
                <w:t>Previously filed as Exhibit 10.13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ahoma;sans-serif" w:hAnsi="Tahoma;sans-serif"/>
                <w:b w:val="false"/>
                <w:color w:val="000000"/>
                <w:sz w:val="18"/>
              </w:rPr>
              <w:t>Appian Corporation Employee Stock Purchase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August 5,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Agreement on the Sale and Transfer of Shares dated as of August 4, 2021, by and among Appian Europe Ltd., and each of the Sellers and Managers identified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16">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November 4,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Non-Employee Director Compensation Plan, as amended December 16, 2020.</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ahoma;sans-serif" w:hAnsi="Tahoma;sans-serif"/>
                  <w:b w:val="false"/>
                  <w:color w:val="0000FF"/>
                  <w:sz w:val="18"/>
                  <w:u w:val="single"/>
                </w:rPr>
                <w:t>Previously filed as Exhibit 10.3 to the Company’s Annual Report on 10-K (File No. 001-38098), filed with the Securities and Exchange Commission on February 18,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 of Indemnification Agreement by and between Appian Corporation and each of its directors and executive officers.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ahoma;sans-serif" w:hAnsi="Tahoma;sans-serif"/>
                  <w:b w:val="false"/>
                  <w:color w:val="0000FF"/>
                  <w:sz w:val="18"/>
                  <w:u w:val="single"/>
                </w:rPr>
                <w:t>Previously filed as Exhibit 10.4 to Amendment No. 2 to the Company’s Registration Statement on Form S-1 (File No. 333-217510), filed with the Securities and Exchange Commission on May 10,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Senior Executive Cash Incentive Bonus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ahoma;sans-serif" w:hAnsi="Tahoma;sans-serif"/>
                  <w:b w:val="false"/>
                  <w:color w:val="0000FF"/>
                  <w:sz w:val="18"/>
                  <w:u w:val="single"/>
                </w:rPr>
                <w:t>Previously filed as Exhibit 10.11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September 7, 2012, by and between Appian Corporation and Matthew Calkins.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ahoma;sans-serif" w:hAnsi="Tahoma;sans-serif"/>
                  <w:b w:val="false"/>
                  <w:color w:val="0000FF"/>
                  <w:sz w:val="18"/>
                  <w:u w:val="single"/>
                </w:rPr>
                <w:t>Previously filed as Exhibit 10.5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 of Amended and Restated Employment Agreement, dated as of April 27, 2017, by and between Appian Corporation and Chris Winters.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ahoma;sans-serif" w:hAnsi="Tahoma;sans-serif"/>
                  <w:b w:val="false"/>
                  <w:color w:val="0000FF"/>
                  <w:sz w:val="18"/>
                  <w:u w:val="single"/>
                </w:rPr>
                <w:t>Previously filed as Exhibit 10.7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September 7, 2012, by and between Appian Corporation and Robert Kramer.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May 7,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March 31, 2020, by and between Appian Corporation and Pavel Zamudio-Ramirez .</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ahoma;sans-serif" w:hAnsi="Tahoma;sans-serif"/>
                  <w:b w:val="false"/>
                  <w:color w:val="0000FF"/>
                  <w:sz w:val="18"/>
                  <w:u w:val="single"/>
                </w:rPr>
                <w:t>Previously filed as Exhibit 10.16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April 2, 2022, by and between Appian Corporation and Mark Matheos.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May 5,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October 14, 2022, by and between Appian Corporation and Christopher Jones.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November 3,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53670"/>
                <wp:effectExtent l="0" t="0" r="0" b="0"/>
                <wp:wrapNone/>
                <wp:docPr id="109" name="Frame10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1559"/>
        <w:gridCol w:w="1510"/>
        <w:gridCol w:w="1515"/>
        <w:gridCol w:w="109"/>
        <w:gridCol w:w="109"/>
        <w:gridCol w:w="109"/>
        <w:gridCol w:w="1278"/>
        <w:gridCol w:w="1278"/>
        <w:gridCol w:w="1810"/>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Deed of Lease, dated April 17, 2018,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ahoma;sans-serif" w:hAnsi="Tahoma;sans-serif"/>
                  <w:b w:val="false"/>
                  <w:color w:val="0000FF"/>
                  <w:sz w:val="18"/>
                  <w:u w:val="single"/>
                </w:rPr>
                <w:t>Previously filed as Exhibit 10.1 to the Company’s Current Report on Form 8-K (File No. 001-38098), filed with the Securities and Exchange Commission on April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First Amendment to Deed of Lease, dated December 23, 2019,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ahoma;sans-serif" w:hAnsi="Tahoma;sans-serif"/>
                  <w:b w:val="false"/>
                  <w:color w:val="0000FF"/>
                  <w:sz w:val="18"/>
                  <w:u w:val="single"/>
                </w:rPr>
                <w:t>Previously filed as Exhibit 10.15 to the Company's Annual Report on Form 10-K (File No. 001-38098), filed with the Securities and Exchange Commission on February 20,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Second Amendment to Deed of Lease, effective as of January 1, 2020,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ahoma;sans-serif" w:hAnsi="Tahoma;sans-serif"/>
                  <w:b w:val="false"/>
                  <w:color w:val="0000FF"/>
                  <w:sz w:val="18"/>
                  <w:u w:val="single"/>
                </w:rPr>
                <w:t>Previously filed as Exhibit 10.16 to the Company's Annual Report on Form 10-K (File No. 001-38098), filed with the Securities and Exchange Commission on February 20,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Third Amendment to Deed of Lease, dated as of November 30, 2021,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ahoma;sans-serif" w:hAnsi="Tahoma;sans-serif"/>
                  <w:b w:val="false"/>
                  <w:color w:val="0000FF"/>
                  <w:sz w:val="18"/>
                  <w:u w:val="single"/>
                </w:rPr>
                <w:t>Previously filed as Exhibit 10.21 to the Company's Annual Report on Form 10-K (File No. 001-38098), filed with the Securities and Exchange Commission on February 17,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Agreement of Sublease, dated as of November 30, 2021, between Appian Corporation and Octagon,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ahoma;sans-serif" w:hAnsi="Tahoma;sans-serif"/>
                  <w:b w:val="false"/>
                  <w:color w:val="0000FF"/>
                  <w:sz w:val="18"/>
                  <w:u w:val="single"/>
                </w:rPr>
                <w:t>Previously filed as Exhibit 10.22 to the Company's Annual Report on Form 10-K (File No. 001-38098), filed with the Securities and Exchange Commission on February 17,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Software Enterprise OEM License Agreement, dated as of June 15, 2016, by and between Appian Corporation and Kx Systems, Inc.</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ahoma;sans-serif" w:hAnsi="Tahoma;sans-serif"/>
                  <w:b w:val="false"/>
                  <w:color w:val="0000FF"/>
                  <w:sz w:val="18"/>
                  <w:u w:val="single"/>
                </w:rPr>
                <w:t>Previously filed as Exhibit 10.11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Addendum No. 1 to Software Enterprise OEM License Agreement, dated as of August 20, 2019, by and between Appian Corporation and Kx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October 31, 2019,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Addendum No. 2 to Software Enterprise OEM License Agreement, dated as of August 31, 2023, by and between Appian Corporation and Kx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November 2,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Senior Secured Credit Facilities Credit Agreement, dated as of November 3, 2022, by and among Appian Corporation, Wells Fargo Bank, National Association, Comerica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ahoma;sans-serif" w:hAnsi="Tahoma;sans-serif"/>
                  <w:b w:val="false"/>
                  <w:color w:val="0000FF"/>
                  <w:sz w:val="18"/>
                  <w:u w:val="single"/>
                </w:rPr>
                <w:t>Previously filed as Exhibit 10.27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Joinder and First Amendment to Credit Agreement, dated as of December 13, 2022, by and among Appian Corporation, MUFG Bank, Ltd., Wells Fargo Bank, National Association, Comerica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ahoma;sans-serif" w:hAnsi="Tahoma;sans-serif"/>
                  <w:b w:val="false"/>
                  <w:color w:val="0000FF"/>
                  <w:sz w:val="18"/>
                  <w:u w:val="single"/>
                </w:rPr>
                <w:t>Previously filed as Exhibit 10.28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Joinder and Second Amendment to Credit Agreement, dated as of February 21, 2023, by and among Appian Corporation, MUFG Bank, Ltd., Wells Fargo Bank, National Association, Comerica Bank, Customers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May 9,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53670"/>
                <wp:effectExtent l="0" t="0" r="0" b="0"/>
                <wp:wrapNone/>
                <wp:docPr id="110" name="Frame10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
        <w:gridCol w:w="200"/>
        <w:gridCol w:w="202"/>
        <w:gridCol w:w="109"/>
        <w:gridCol w:w="109"/>
        <w:gridCol w:w="109"/>
        <w:gridCol w:w="1998"/>
        <w:gridCol w:w="1816"/>
        <w:gridCol w:w="1821"/>
        <w:gridCol w:w="109"/>
        <w:gridCol w:w="109"/>
        <w:gridCol w:w="109"/>
        <w:gridCol w:w="962"/>
        <w:gridCol w:w="962"/>
        <w:gridCol w:w="1363"/>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Third Amendment to Credit Agreement, dated as of June 13, 2023, by and among Appian Corporation, MUFG Bank, Ltd., Wells Fargo Bank, National Association, Comerica Bank, Customers Bank, and Silicon Valley Bank, a division of First-Citizens Bank &amp; Trust Company (successor by purchase to the Federal Deposit Insurance Corporation as receiver for Silicon Valley Bridge Bank, N.A. (as successor to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ahoma;sans-serif" w:hAnsi="Tahoma;sans-serif"/>
                  <w:b w:val="false"/>
                  <w:color w:val="000080"/>
                  <w:sz w:val="18"/>
                  <w:u w:val="single"/>
                </w:rPr>
                <w:t xml:space="preserve">Previously filed as Exhibit 10.1 to the Company’s Quarterly Report on Form 10-Q (File No. 001-38098) filed with the Securities and Exchange Commission on </w:t>
              </w:r>
            </w:hyperlink>
            <w:hyperlink r:id="rId38">
              <w:r>
                <w:rPr>
                  <w:rStyle w:val="InternetLink"/>
                  <w:rFonts w:ascii="Tahoma;sans-serif" w:hAnsi="Tahoma;sans-serif"/>
                  <w:b w:val="false"/>
                  <w:color w:val="000080"/>
                  <w:sz w:val="18"/>
                  <w:u w:val="single"/>
                </w:rPr>
                <w:t>August 3</w:t>
              </w:r>
            </w:hyperlink>
            <w:hyperlink r:id="rId39">
              <w:r>
                <w:rPr>
                  <w:rStyle w:val="InternetLink"/>
                  <w:rFonts w:ascii="Tahoma;sans-serif" w:hAnsi="Tahoma;sans-serif"/>
                  <w:b w:val="false"/>
                  <w:color w:val="000080"/>
                  <w:sz w:val="18"/>
                  <w:u w:val="single"/>
                </w:rPr>
                <w:t>, 2023, and incorporated herein by reference.</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Subsidiaries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3ex211.htm">
              <w:r>
                <w:rPr>
                  <w:rStyle w:val="InternetLink"/>
                  <w:rFonts w:ascii="Tahoma;sans-serif" w:hAnsi="Tahoma;sans-serif"/>
                  <w:b w:val="false"/>
                  <w:color w:val="0000FF"/>
                  <w:sz w:val="18"/>
                  <w:u w:val="single"/>
                </w:rPr>
                <w:t>Filed herewith.</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Consent of BDO USA, P.C.,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3ex231.htm">
              <w:r>
                <w:rPr>
                  <w:rStyle w:val="InternetLink"/>
                  <w:rFonts w:ascii="Tahoma;sans-serif" w:hAnsi="Tahoma;sans-serif"/>
                  <w:b w:val="false"/>
                  <w:color w:val="0000FF"/>
                  <w:sz w:val="18"/>
                  <w:u w:val="single"/>
                </w:rPr>
                <w:t>Filed herewith.</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Power of Attorney. Reference is made to the signature page 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Filed herewith.</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Executive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3ex311.htm">
              <w:r>
                <w:rPr>
                  <w:rStyle w:val="InternetLink"/>
                  <w:rFonts w:ascii="Tahoma;sans-serif" w:hAnsi="Tahoma;sans-serif"/>
                  <w:b w:val="false"/>
                  <w:color w:val="0000FF"/>
                  <w:sz w:val="18"/>
                  <w:u w:val="single"/>
                </w:rPr>
                <w:t>Filed herewith.</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Financial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3ex312.htm">
              <w:r>
                <w:rPr>
                  <w:rStyle w:val="InternetLink"/>
                  <w:rFonts w:ascii="Tahoma;sans-serif" w:hAnsi="Tahoma;sans-serif"/>
                  <w:b w:val="false"/>
                  <w:color w:val="0000FF"/>
                  <w:sz w:val="18"/>
                  <w:u w:val="single"/>
                </w:rPr>
                <w:t>Filed herewith.</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Certifications of Principal Executive Officer and Principal Financial Officer Pursuant to 18 U.S.C. Section 1350, as Adopted Pursuant to Section 906 of the Sarbanes-Oxley Act of 2002.</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3ex321.htm">
              <w:r>
                <w:rPr>
                  <w:rStyle w:val="InternetLink"/>
                  <w:rFonts w:ascii="Tahoma;sans-serif" w:hAnsi="Tahoma;sans-serif"/>
                  <w:b w:val="false"/>
                  <w:color w:val="0000FF"/>
                  <w:sz w:val="18"/>
                  <w:u w:val="single"/>
                </w:rPr>
                <w:t>Filed herewith.</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Appian Corporation</w:t>
            </w:r>
          </w:p>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Compensation Recoupment Policy dated 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3ex97.htm">
              <w:r>
                <w:rPr>
                  <w:rStyle w:val="InternetLink"/>
                  <w:rFonts w:ascii="Tahoma;sans-serif" w:hAnsi="Tahoma;sans-serif"/>
                  <w:b w:val="false"/>
                  <w:color w:val="000080"/>
                  <w:sz w:val="18"/>
                  <w:u w:val="single"/>
                </w:rPr>
                <w:t>F</w:t>
              </w:r>
            </w:hyperlink>
            <w:hyperlink w:anchor="appn12312023ex97.htm">
              <w:r>
                <w:rPr>
                  <w:rStyle w:val="InternetLink"/>
                  <w:rFonts w:ascii="Tahoma;sans-serif" w:hAnsi="Tahoma;sans-serif"/>
                  <w:b w:val="false"/>
                  <w:color w:val="000080"/>
                  <w:sz w:val="18"/>
                  <w:u w:val="single"/>
                </w:rPr>
                <w:t>iled herewith.</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53670"/>
                <wp:effectExtent l="0" t="0" r="0" b="0"/>
                <wp:wrapNone/>
                <wp:docPr id="111" name="Frame10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108</w:t>
                      </w:r>
                    </w:p>
                  </w:txbxContent>
                </v:textbox>
                <w10:wrap type="none"/>
              </v:rect>
            </w:pict>
          </mc:Fallback>
        </mc:AlternateContent>
      </w:r>
    </w:p>
    <w:p>
      <w:pPr>
        <w:pStyle w:val="TextBody"/>
        <w:bidi w:val="0"/>
        <w:spacing w:before="0" w:after="0"/>
        <w:jc w:val="left"/>
        <w:rPr/>
      </w:pPr>
      <w:r>
        <w:rPr/>
      </w:r>
    </w:p>
    <w:tbl>
      <w:tblPr>
        <w:tblW w:w="9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397"/>
        <w:gridCol w:w="2397"/>
        <w:gridCol w:w="2405"/>
        <w:gridCol w:w="109"/>
        <w:gridCol w:w="109"/>
        <w:gridCol w:w="109"/>
        <w:gridCol w:w="268"/>
        <w:gridCol w:w="268"/>
        <w:gridCol w:w="380"/>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management contract or compensatory plan.</w:t>
      </w:r>
    </w:p>
    <w:p>
      <w:pPr>
        <w:pStyle w:val="TextBody"/>
        <w:bidi w:val="0"/>
        <w:spacing w:lineRule="auto" w:line="288" w:before="0" w:after="0"/>
        <w:jc w:val="left"/>
        <w:rPr>
          <w:color w:val="000000"/>
        </w:rPr>
      </w:pPr>
      <w:r>
        <w:rPr>
          <w:color w:val="000000"/>
        </w:rPr>
        <w:t>†     </w:t>
      </w:r>
      <w:r>
        <w:rPr>
          <w:rFonts w:ascii="Tahoma;sans-serif" w:hAnsi="Tahoma;sans-serif"/>
          <w:b w:val="false"/>
          <w:color w:val="000000"/>
          <w:sz w:val="16"/>
        </w:rPr>
        <w:t>Confidential treatment has been granted as to certain portions of this exhibit. These portions have been omitted and filed separately with the Securities and Exchange Commission.</w:t>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16. Form 10-K Summary.</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53670"/>
                <wp:effectExtent l="0" t="0" r="0" b="0"/>
                <wp:wrapNone/>
                <wp:docPr id="112" name="Frame10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SIGNATURE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30"/>
        <w:gridCol w:w="202"/>
        <w:gridCol w:w="202"/>
        <w:gridCol w:w="202"/>
        <w:gridCol w:w="202"/>
        <w:gridCol w:w="205"/>
        <w:gridCol w:w="123"/>
        <w:gridCol w:w="123"/>
        <w:gridCol w:w="123"/>
        <w:gridCol w:w="123"/>
        <w:gridCol w:w="123"/>
        <w:gridCol w:w="123"/>
        <w:gridCol w:w="1348"/>
        <w:gridCol w:w="1224"/>
        <w:gridCol w:w="1229"/>
        <w:gridCol w:w="123"/>
        <w:gridCol w:w="123"/>
        <w:gridCol w:w="123"/>
        <w:gridCol w:w="1264"/>
        <w:gridCol w:w="1148"/>
        <w:gridCol w:w="1642"/>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APPIAN CORPORATION</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February 15, 2024</w:t>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By: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Mark Matheos</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Name: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Name: Mark Matheos</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Title: Chief Executive Officer and Chairman of the Board (Principal Executive Officer)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Title: Chief Financial Officer (Principal Financial Officer and Principal Accounting Officer)</w:t>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KNOW ALL PERSONS BY THESE PRESENTS, that each person whose signature appears below hereby constitutes and appoints Matthew Calkins, Mark Matheos, and Christopher Winters,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53670"/>
                <wp:effectExtent l="0" t="0" r="0" b="0"/>
                <wp:wrapNone/>
                <wp:docPr id="113" name="Frame11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ind w:left="0" w:right="0" w:firstLine="360"/>
        <w:jc w:val="left"/>
        <w:rPr/>
      </w:pPr>
      <w:r>
        <w:rPr/>
      </w:r>
    </w:p>
    <w:tbl>
      <w:tblPr>
        <w:tblW w:w="7402" w:type="dxa"/>
        <w:jc w:val="left"/>
        <w:tblInd w:w="0" w:type="dxa"/>
        <w:tblLayout w:type="fixed"/>
        <w:tblCellMar>
          <w:top w:w="28" w:type="dxa"/>
          <w:left w:w="28" w:type="dxa"/>
          <w:bottom w:w="28" w:type="dxa"/>
          <w:right w:w="28" w:type="dxa"/>
        </w:tblCellMar>
      </w:tblPr>
      <w:tblGrid>
        <w:gridCol w:w="928"/>
        <w:gridCol w:w="816"/>
        <w:gridCol w:w="821"/>
        <w:gridCol w:w="109"/>
        <w:gridCol w:w="109"/>
        <w:gridCol w:w="109"/>
        <w:gridCol w:w="816"/>
        <w:gridCol w:w="816"/>
        <w:gridCol w:w="827"/>
        <w:gridCol w:w="109"/>
        <w:gridCol w:w="109"/>
        <w:gridCol w:w="109"/>
        <w:gridCol w:w="502"/>
        <w:gridCol w:w="502"/>
        <w:gridCol w:w="720"/>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Date</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Matthew Calkins</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Matthew Calkins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Chief Executive Officer and</w:t>
            </w:r>
          </w:p>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 xml:space="preserve">Chairman of the Board </w:t>
            </w:r>
          </w:p>
          <w:p>
            <w:pPr>
              <w:pStyle w:val="TableContents"/>
              <w:bidi w:val="0"/>
              <w:spacing w:lineRule="auto" w:line="240" w:before="0" w:after="15"/>
              <w:jc w:val="center"/>
              <w:rPr>
                <w:rFonts w:ascii="Tahoma;sans-serif" w:hAnsi="Tahoma;sans-serif"/>
                <w:b w:val="false"/>
                <w:i/>
                <w:color w:val="000000"/>
                <w:sz w:val="20"/>
              </w:rPr>
            </w:pPr>
            <w:r>
              <w:rPr>
                <w:rFonts w:ascii="Tahoma;sans-serif" w:hAnsi="Tahoma;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Mark Matheos</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Mark Matheos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Chief Financial Officer</w:t>
            </w:r>
          </w:p>
          <w:p>
            <w:pPr>
              <w:pStyle w:val="TableContents"/>
              <w:bidi w:val="0"/>
              <w:spacing w:lineRule="auto" w:line="240" w:before="0" w:after="15"/>
              <w:jc w:val="center"/>
              <w:rPr>
                <w:rFonts w:ascii="Tahoma;sans-serif" w:hAnsi="Tahoma;sans-serif"/>
                <w:b w:val="false"/>
                <w:i/>
                <w:color w:val="000000"/>
                <w:sz w:val="20"/>
              </w:rPr>
            </w:pPr>
            <w:r>
              <w:rPr>
                <w:rFonts w:ascii="Tahoma;sans-serif" w:hAnsi="Tahoma;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A.G.W. “Jack” Biddle, III</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A.G.W. "Jack" Biddle,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Shirley Edwards</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Shirley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Barbara “Bobbie” Kilberg</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Barbara “Bobbie” Kilberg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Mark Lynch</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 xml:space="preserve">Mark Lynch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William McCarthy</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William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Michael Mulligan</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Michael Mulligan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15,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53670"/>
                <wp:effectExtent l="0" t="0" r="0" b="0"/>
                <wp:wrapNone/>
                <wp:docPr id="114" name="Frame11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111</w:t>
                      </w:r>
                    </w:p>
                  </w:txbxContent>
                </v:textbox>
                <w10:wrap type="none"/>
              </v:rect>
            </w:pict>
          </mc:Fallback>
        </mc:AlternateContent>
      </w:r>
    </w:p>
    <w:p>
      <w:pPr>
        <w:pStyle w:val="TextBody"/>
        <w:bidi w:val="0"/>
        <w:spacing w:lineRule="auto" w:line="276" w:before="0" w:after="0"/>
        <w:jc w:val="right"/>
        <w:rPr>
          <w:rFonts w:ascii="Tahoma;sans-serif" w:hAnsi="Tahoma;sans-serif"/>
          <w:b/>
          <w:color w:val="000000"/>
          <w:sz w:val="20"/>
        </w:rPr>
      </w:pPr>
      <w:r>
        <w:rPr>
          <w:rFonts w:ascii="Tahoma;sans-serif" w:hAnsi="Tahoma;sans-serif"/>
          <w:b/>
          <w:color w:val="000000"/>
          <w:sz w:val="20"/>
        </w:rPr>
        <w:t>Exhibit 21.1</w:t>
      </w:r>
    </w:p>
    <w:p>
      <w:pPr>
        <w:pStyle w:val="TextBody"/>
        <w:bidi w:val="0"/>
        <w:spacing w:before="0" w:after="0"/>
        <w:jc w:val="center"/>
        <w:rPr/>
      </w:pPr>
      <w:r>
        <w:rPr/>
      </w:r>
    </w:p>
    <w:p>
      <w:pPr>
        <w:pStyle w:val="TextBody"/>
        <w:bidi w:val="0"/>
        <w:spacing w:lineRule="auto" w:line="276" w:before="0" w:after="0"/>
        <w:jc w:val="center"/>
        <w:rPr>
          <w:rFonts w:ascii="Tahoma;sans-serif" w:hAnsi="Tahoma;sans-serif"/>
          <w:b/>
          <w:color w:val="000000"/>
          <w:sz w:val="20"/>
        </w:rPr>
      </w:pPr>
      <w:r>
        <w:rPr>
          <w:rFonts w:ascii="Tahoma;sans-serif" w:hAnsi="Tahoma;sans-serif"/>
          <w:b/>
          <w:color w:val="000000"/>
          <w:sz w:val="20"/>
        </w:rPr>
        <w:t>Subsidiaries of Appian Corporation</w:t>
      </w:r>
    </w:p>
    <w:tbl>
      <w:tblPr>
        <w:tblW w:w="7030" w:type="dxa"/>
        <w:jc w:val="left"/>
        <w:tblInd w:w="0" w:type="dxa"/>
        <w:tblLayout w:type="fixed"/>
        <w:tblCellMar>
          <w:top w:w="28" w:type="dxa"/>
          <w:left w:w="28" w:type="dxa"/>
          <w:bottom w:w="28" w:type="dxa"/>
          <w:right w:w="28" w:type="dxa"/>
        </w:tblCellMar>
      </w:tblPr>
      <w:tblGrid>
        <w:gridCol w:w="1537"/>
        <w:gridCol w:w="1349"/>
        <w:gridCol w:w="1358"/>
        <w:gridCol w:w="109"/>
        <w:gridCol w:w="109"/>
        <w:gridCol w:w="109"/>
        <w:gridCol w:w="719"/>
        <w:gridCol w:w="719"/>
        <w:gridCol w:w="1021"/>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000000"/>
                <w:sz w:val="20"/>
              </w:rPr>
            </w:pPr>
            <w:r>
              <w:rPr>
                <w:rFonts w:ascii="Tahoma;sans-serif" w:hAnsi="Tahoma;sans-serif"/>
                <w:b/>
                <w:color w:val="000000"/>
                <w:sz w:val="20"/>
              </w:rPr>
              <w:t>Jurisdiction of Organization</w:t>
            </w:r>
          </w:p>
        </w:tc>
      </w:tr>
      <w:tr>
        <w:trPr/>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Europe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England and Wales</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International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Switzerland (Zug Canton)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Netherlands</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Australia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France</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Italy</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Germany</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Singapore</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Spain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Sweden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Japan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Japan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Canada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Canada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Mexico Software SRL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Mexico</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Computer Technologies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India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Portugal Unipessoal LDA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Portugal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color w:val="000000"/>
          <w:sz w:val="20"/>
          <w:u w:val="single"/>
        </w:rPr>
      </w:pPr>
      <w:r>
        <w:rPr>
          <w:rFonts w:ascii="Tahoma;sans-serif" w:hAnsi="Tahoma;sans-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hereby consent to the incorporation by reference in the Registration Statements on Form S-3 (No. 333-258903) and Form S-8 (No. 333-218342 and 333-259268) of Appian Corporation (“the Company”) of our reports dated February 15, 2024, relating to the consolidated financial statements, and the effectiveness of the Company’s internal control over financial reporting, which appear in this Annual Report on Form 10-K.</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lineRule="auto" w:line="288" w:before="0" w:after="0"/>
        <w:jc w:val="both"/>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Tahoma;sans-serif" w:hAnsi="Tahoma;sans-serif"/>
          <w:b w:val="false"/>
          <w:color w:val="000000"/>
          <w:sz w:val="20"/>
        </w:rPr>
      </w:pPr>
      <w:r>
        <w:rPr>
          <w:rFonts w:ascii="Tahoma;sans-serif" w:hAnsi="Tahoma;sans-serif"/>
          <w:b w:val="false"/>
          <w:color w:val="000000"/>
          <w:sz w:val="20"/>
        </w:rPr>
        <w:t>February 15,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 OF PRINCIPAL EXECUTIVE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 Matthew Calkins,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1.</w:t>
      </w:r>
      <w:r>
        <w:rPr>
          <w:color w:val="000000"/>
        </w:rPr>
        <w:t xml:space="preserve">                       </w:t>
      </w:r>
      <w:r>
        <w:rPr>
          <w:rFonts w:ascii="Tahoma;sans-serif" w:hAnsi="Tahoma;sans-serif"/>
          <w:b w:val="false"/>
          <w:color w:val="000000"/>
          <w:sz w:val="20"/>
        </w:rPr>
        <w:t>I have reviewed this Annual Report on Form 10-K for the period ended December 31, 2023 of Appian Corporation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2.</w:t>
      </w:r>
      <w:r>
        <w:rPr>
          <w:color w:val="000000"/>
        </w:rPr>
        <w:t xml:space="preserve">                       </w:t>
      </w:r>
      <w:r>
        <w:rPr>
          <w:rFonts w:ascii="Tahoma;sans-serif" w:hAnsi="Tahoma;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3.</w:t>
      </w:r>
      <w:r>
        <w:rPr>
          <w:color w:val="000000"/>
        </w:rPr>
        <w:t xml:space="preserve">                       </w:t>
      </w:r>
      <w:r>
        <w:rPr>
          <w:rFonts w:ascii="Tahoma;sans-serif" w:hAnsi="Tahoma;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4.</w:t>
      </w:r>
      <w:r>
        <w:rPr>
          <w:color w:val="000000"/>
        </w:rPr>
        <w:t xml:space="preserve">                       </w:t>
      </w:r>
      <w:r>
        <w:rPr>
          <w:rFonts w:ascii="Tahoma;sans-serif" w:hAnsi="Tahoma;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ahoma;sans-serif" w:hAnsi="Tahoma;sans-serif"/>
          <w:b w:val="false"/>
          <w:color w:val="000000"/>
          <w:sz w:val="20"/>
        </w:rPr>
      </w:pPr>
      <w:r>
        <w:rPr>
          <w:rFonts w:ascii="Tahoma;sans-serif" w:hAnsi="Tahoma;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(c)</w:t>
      </w:r>
      <w:r>
        <w:rPr>
          <w:color w:val="000000"/>
        </w:rPr>
        <w:t xml:space="preserve">                  </w:t>
      </w:r>
      <w:r>
        <w:rPr>
          <w:rFonts w:ascii="Tahoma;sans-serif" w:hAnsi="Tahoma;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(d)</w:t>
      </w:r>
      <w:r>
        <w:rPr>
          <w:color w:val="000000"/>
        </w:rPr>
        <w:t xml:space="preserve">                   </w:t>
      </w:r>
      <w:r>
        <w:rPr>
          <w:rFonts w:ascii="Tahoma;sans-serif" w:hAnsi="Tahoma;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5.</w:t>
      </w:r>
      <w:r>
        <w:rPr>
          <w:color w:val="000000"/>
        </w:rPr>
        <w:t xml:space="preserve">                       </w:t>
      </w:r>
      <w:r>
        <w:rPr>
          <w:rFonts w:ascii="Tahoma;sans-serif" w:hAnsi="Tahoma;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(b)</w:t>
      </w:r>
      <w:r>
        <w:rPr>
          <w:color w:val="000000"/>
        </w:rPr>
        <w:t xml:space="preserve">                  </w:t>
      </w:r>
      <w:r>
        <w:rPr>
          <w:rFonts w:ascii="Tahoma;sans-serif" w:hAnsi="Tahoma;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799" w:type="dxa"/>
        <w:jc w:val="left"/>
        <w:tblInd w:w="0" w:type="dxa"/>
        <w:tblLayout w:type="fixed"/>
        <w:tblCellMar>
          <w:top w:w="28" w:type="dxa"/>
          <w:left w:w="28" w:type="dxa"/>
          <w:bottom w:w="28" w:type="dxa"/>
          <w:right w:w="28" w:type="dxa"/>
        </w:tblCellMar>
      </w:tblPr>
      <w:tblGrid>
        <w:gridCol w:w="830"/>
        <w:gridCol w:w="729"/>
        <w:gridCol w:w="736"/>
        <w:gridCol w:w="733"/>
        <w:gridCol w:w="733"/>
        <w:gridCol w:w="1038"/>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ahoma;sans-serif" w:hAnsi="Tahoma;sans-serif"/>
                <w:b w:val="false"/>
                <w:color w:val="000000"/>
                <w:sz w:val="20"/>
              </w:rPr>
              <w:t>Date: February 15, 2024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Matthew Calkins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Chief Executive Officer</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 OF PRINCIPAL FINANCIAL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 Mark Matheos,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1.</w:t>
      </w:r>
      <w:r>
        <w:rPr>
          <w:color w:val="000000"/>
        </w:rPr>
        <w:t xml:space="preserve">                       </w:t>
      </w:r>
      <w:r>
        <w:rPr>
          <w:rFonts w:ascii="Tahoma;sans-serif" w:hAnsi="Tahoma;sans-serif"/>
          <w:b w:val="false"/>
          <w:color w:val="000000"/>
          <w:sz w:val="20"/>
        </w:rPr>
        <w:t>I have reviewed this Annual Report on Form 10-K for the period ended December 31, 2023 of Appian Corporation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2.</w:t>
      </w:r>
      <w:r>
        <w:rPr>
          <w:color w:val="000000"/>
        </w:rPr>
        <w:t xml:space="preserve">                       </w:t>
      </w:r>
      <w:r>
        <w:rPr>
          <w:rFonts w:ascii="Tahoma;sans-serif" w:hAnsi="Tahoma;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3.</w:t>
      </w:r>
      <w:r>
        <w:rPr>
          <w:color w:val="000000"/>
        </w:rPr>
        <w:t xml:space="preserve">                       </w:t>
      </w:r>
      <w:r>
        <w:rPr>
          <w:rFonts w:ascii="Tahoma;sans-serif" w:hAnsi="Tahoma;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76" w:before="0" w:after="0"/>
        <w:ind w:left="0" w:right="0" w:hanging="720"/>
        <w:jc w:val="left"/>
        <w:rPr/>
      </w:pPr>
      <w:r>
        <w:rPr>
          <w:rFonts w:ascii="Tahoma;sans-serif" w:hAnsi="Tahoma;sans-serif"/>
          <w:b w:val="false"/>
          <w:color w:val="000000"/>
          <w:sz w:val="20"/>
        </w:rPr>
        <w:t>4.</w:t>
      </w:r>
      <w:r>
        <w:rPr>
          <w:color w:val="000000"/>
        </w:rPr>
        <w:t xml:space="preserve">                       </w:t>
      </w:r>
      <w:r>
        <w:rPr>
          <w:rFonts w:ascii="Tahoma;sans-serif" w:hAnsi="Tahoma;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ahoma;sans-serif" w:hAnsi="Tahoma;sans-serif"/>
          <w:b w:val="false"/>
          <w:color w:val="000000"/>
          <w:sz w:val="20"/>
        </w:rPr>
      </w:pPr>
      <w:r>
        <w:rPr>
          <w:rFonts w:ascii="Tahoma;sans-serif" w:hAnsi="Tahoma;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(c)</w:t>
      </w:r>
      <w:r>
        <w:rPr>
          <w:color w:val="000000"/>
        </w:rPr>
        <w:t xml:space="preserve">                  </w:t>
      </w:r>
      <w:r>
        <w:rPr>
          <w:rFonts w:ascii="Tahoma;sans-serif" w:hAnsi="Tahoma;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(d)</w:t>
      </w:r>
      <w:r>
        <w:rPr>
          <w:color w:val="000000"/>
        </w:rPr>
        <w:t xml:space="preserve">                   </w:t>
      </w:r>
      <w:r>
        <w:rPr>
          <w:rFonts w:ascii="Tahoma;sans-serif" w:hAnsi="Tahoma;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5.</w:t>
      </w:r>
      <w:r>
        <w:rPr>
          <w:color w:val="000000"/>
        </w:rPr>
        <w:t xml:space="preserve">                       </w:t>
      </w:r>
      <w:r>
        <w:rPr>
          <w:rFonts w:ascii="Tahoma;sans-serif" w:hAnsi="Tahoma;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(b)</w:t>
      </w:r>
      <w:r>
        <w:rPr>
          <w:color w:val="000000"/>
        </w:rPr>
        <w:t xml:space="preserve">                  </w:t>
      </w:r>
      <w:r>
        <w:rPr>
          <w:rFonts w:ascii="Tahoma;sans-serif" w:hAnsi="Tahoma;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530" w:type="dxa"/>
        <w:jc w:val="left"/>
        <w:tblInd w:w="0" w:type="dxa"/>
        <w:tblLayout w:type="fixed"/>
        <w:tblCellMar>
          <w:top w:w="28" w:type="dxa"/>
          <w:left w:w="28" w:type="dxa"/>
          <w:bottom w:w="28" w:type="dxa"/>
          <w:right w:w="28" w:type="dxa"/>
        </w:tblCellMar>
      </w:tblPr>
      <w:tblGrid>
        <w:gridCol w:w="830"/>
        <w:gridCol w:w="729"/>
        <w:gridCol w:w="736"/>
        <w:gridCol w:w="1533"/>
        <w:gridCol w:w="1533"/>
        <w:gridCol w:w="2169"/>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ahoma;sans-serif" w:hAnsi="Tahoma;sans-serif"/>
                <w:b w:val="false"/>
                <w:color w:val="000000"/>
                <w:sz w:val="20"/>
              </w:rPr>
              <w:t>Date: February 15, 2024</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Mark Matheos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Mark Matheos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Chief Financial Officer</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CERTIFICATIONS OF</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PRINCIPAL EXECUTIVE OFFICER AND PRINCIPAL FINANCIAL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18 U.S.C. SECTION 1350,</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AS ADOPTED PURSUANT TO</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rFonts w:ascii="Tahoma;sans-serif" w:hAnsi="Tahoma;sans-serif"/>
          <w:b w:val="false"/>
          <w:color w:val="000000"/>
          <w:sz w:val="20"/>
        </w:rPr>
      </w:pPr>
      <w:r>
        <w:rPr>
          <w:rFonts w:ascii="Tahoma;sans-serif" w:hAnsi="Tahoma;sans-serif"/>
          <w:b w:val="false"/>
          <w:color w:val="000000"/>
          <w:sz w:val="20"/>
        </w:rPr>
        <w:t>Pursuant to the requirement set forth in Rule 13a-14(b) of the Securities Exchange Act of 1934, as amended, (the “Exchange Act”) and Section 1350 of Chapter 63 of Title 18 of the United States Code (18 U.S.C. §1350), Matthew Calkins, Chief Executive Officer of Appian Corporation (the “Company”), and Mark Matheos, Chief Financial Officer of the Company, each hereby certifies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color w:val="000000"/>
          <w:sz w:val="20"/>
        </w:rPr>
        <w:t>1.</w:t>
      </w:r>
      <w:r>
        <w:rPr>
          <w:color w:val="000000"/>
        </w:rPr>
        <w:t xml:space="preserve">                       </w:t>
      </w:r>
      <w:r>
        <w:rPr>
          <w:rFonts w:ascii="Tahoma;sans-serif" w:hAnsi="Tahoma;sans-serif"/>
          <w:b w:val="false"/>
          <w:color w:val="000000"/>
          <w:sz w:val="20"/>
        </w:rPr>
        <w:t>The Company’s Annual Report on Form 10-K for the period ended December 31, 2023, to which this Certification is attached as Exhibit 32.1 (the “Periodic Report”), fully complies with the requirements of Section 13(a) or Section 15(d) of the Exchange Act;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color w:val="000000"/>
          <w:sz w:val="20"/>
        </w:rPr>
        <w:t>2.</w:t>
      </w:r>
      <w:r>
        <w:rPr>
          <w:color w:val="000000"/>
        </w:rPr>
        <w:t xml:space="preserve">                       </w:t>
      </w:r>
      <w:r>
        <w:rPr>
          <w:rFonts w:ascii="Tahoma;sans-serif" w:hAnsi="Tahoma;sans-serif"/>
          <w:b w:val="false"/>
          <w:color w:val="000000"/>
          <w:sz w:val="20"/>
        </w:rPr>
        <w:t>The information contained in the Periodic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pPr>
      <w:r>
        <w:rPr>
          <w:rFonts w:ascii="Tahoma;sans-serif" w:hAnsi="Tahoma;sans-serif"/>
          <w:b/>
          <w:color w:val="000000"/>
          <w:sz w:val="20"/>
        </w:rPr>
        <w:t>IN WITNESS WHEREOF</w:t>
      </w:r>
      <w:r>
        <w:rPr>
          <w:rFonts w:ascii="Tahoma;sans-serif" w:hAnsi="Tahoma;sans-serif"/>
          <w:b w:val="false"/>
          <w:color w:val="000000"/>
          <w:sz w:val="20"/>
        </w:rPr>
        <w:t>, the undersigned have set their hands hereto as of the 15th day of February, 2024.</w:t>
      </w:r>
    </w:p>
    <w:p>
      <w:pPr>
        <w:pStyle w:val="TextBody"/>
        <w:bidi w:val="0"/>
        <w:spacing w:lineRule="auto" w:line="288" w:before="0" w:after="0"/>
        <w:jc w:val="center"/>
        <w:rPr>
          <w:color w:val="000000"/>
        </w:rPr>
      </w:pPr>
      <w:r>
        <w:rPr>
          <w:color w:val="000000"/>
        </w:rPr>
        <w:t> </w:t>
      </w:r>
    </w:p>
    <w:tbl>
      <w:tblPr>
        <w:tblW w:w="8036" w:type="dxa"/>
        <w:jc w:val="center"/>
        <w:tblInd w:w="0" w:type="dxa"/>
        <w:tblLayout w:type="fixed"/>
        <w:tblCellMar>
          <w:top w:w="28" w:type="dxa"/>
          <w:left w:w="28" w:type="dxa"/>
          <w:bottom w:w="28" w:type="dxa"/>
          <w:right w:w="28" w:type="dxa"/>
        </w:tblCellMar>
      </w:tblPr>
      <w:tblGrid>
        <w:gridCol w:w="896"/>
        <w:gridCol w:w="786"/>
        <w:gridCol w:w="793"/>
        <w:gridCol w:w="109"/>
        <w:gridCol w:w="109"/>
        <w:gridCol w:w="109"/>
        <w:gridCol w:w="1532"/>
        <w:gridCol w:w="1532"/>
        <w:gridCol w:w="2170"/>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Mark Matheos</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Matthew Calkins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Mark Matheos</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Chief Executive Officer</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Chief Financial Officer</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ahoma;sans-serif" w:hAnsi="Tahoma;sans-serif"/>
          <w:b w:val="false"/>
          <w:color w:val="000000"/>
          <w:sz w:val="20"/>
        </w:rPr>
      </w:pPr>
      <w:r>
        <w:rPr>
          <w:rFonts w:ascii="Tahoma;sans-serif" w:hAnsi="Tahoma;sans-serif"/>
          <w:b w:val="false"/>
          <w:color w:val="000000"/>
          <w:sz w:val="20"/>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ahoma;sans-serif" w:hAnsi="Tahoma;sans-serif"/>
          <w:b/>
          <w:color w:val="000000"/>
          <w:sz w:val="20"/>
        </w:rPr>
      </w:pPr>
      <w:r>
        <w:rPr>
          <w:rFonts w:ascii="Tahoma;sans-serif" w:hAnsi="Tahoma;sans-serif"/>
          <w:b/>
          <w:color w:val="000000"/>
          <w:sz w:val="20"/>
        </w:rPr>
        <w:t>Exhibit 97</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8.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40" w:before="0" w:after="0"/>
        <w:jc w:val="center"/>
        <w:rPr>
          <w:rFonts w:ascii="Tahoma;sans-serif" w:hAnsi="Tahoma;sans-serif"/>
          <w:b/>
          <w:color w:val="000000"/>
          <w:sz w:val="22"/>
        </w:rPr>
      </w:pPr>
      <w:r>
        <w:rPr>
          <w:rFonts w:ascii="Tahoma;sans-serif" w:hAnsi="Tahoma;sans-serif"/>
          <w:b/>
          <w:color w:val="000000"/>
          <w:sz w:val="22"/>
        </w:rPr>
        <w:t>Appian Corporation</w:t>
      </w:r>
    </w:p>
    <w:p>
      <w:pPr>
        <w:pStyle w:val="TextBody"/>
        <w:bidi w:val="0"/>
        <w:spacing w:lineRule="auto" w:line="240" w:before="0" w:after="0"/>
        <w:jc w:val="center"/>
        <w:rPr>
          <w:rFonts w:ascii="Tahoma;sans-serif" w:hAnsi="Tahoma;sans-serif"/>
          <w:b/>
          <w:color w:val="000000"/>
          <w:sz w:val="22"/>
        </w:rPr>
      </w:pPr>
      <w:r>
        <w:rPr>
          <w:rFonts w:ascii="Tahoma;sans-serif" w:hAnsi="Tahoma;sans-serif"/>
          <w:b/>
          <w:color w:val="000000"/>
          <w:sz w:val="22"/>
        </w:rPr>
        <w:t xml:space="preserve">Compensation Recoupment Policy </w:t>
      </w:r>
    </w:p>
    <w:p>
      <w:pPr>
        <w:pStyle w:val="TextBody"/>
        <w:bidi w:val="0"/>
        <w:spacing w:before="0" w:after="0"/>
        <w:jc w:val="center"/>
        <w:rPr/>
      </w:pPr>
      <w:r>
        <w:rPr/>
      </w:r>
    </w:p>
    <w:p>
      <w:pPr>
        <w:pStyle w:val="TextBody"/>
        <w:bidi w:val="0"/>
        <w:spacing w:lineRule="auto" w:line="240" w:before="0" w:after="0"/>
        <w:jc w:val="center"/>
        <w:rPr>
          <w:rFonts w:ascii="Tahoma;sans-serif" w:hAnsi="Tahoma;sans-serif"/>
          <w:b/>
          <w:color w:val="000000"/>
          <w:sz w:val="18"/>
        </w:rPr>
      </w:pPr>
      <w:r>
        <w:rPr>
          <w:rFonts w:ascii="Tahoma;sans-serif" w:hAnsi="Tahoma;sans-serif"/>
          <w:b/>
          <w:color w:val="000000"/>
          <w:sz w:val="18"/>
        </w:rPr>
        <w:t>(Adopted October 31, 2023)</w:t>
      </w:r>
    </w:p>
    <w:p>
      <w:pPr>
        <w:pStyle w:val="TextBody"/>
        <w:bidi w:val="0"/>
        <w:spacing w:before="0" w:after="200"/>
        <w:ind w:left="0" w:right="0" w:firstLine="720"/>
        <w:jc w:val="left"/>
        <w:rPr/>
      </w:pPr>
      <w:r>
        <w:rPr/>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This Appian Corporation Compensation Recoupment Policy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has been adopted by the Board of Directors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of Appian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on October 31,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sans-serif" w:hAnsi="Times New Roman;sans-serif"/>
          <w:b/>
          <w:color w:val="000000"/>
          <w:sz w:val="22"/>
        </w:rPr>
        <w:t>Listing Rule</w:t>
      </w:r>
      <w:r>
        <w:rPr>
          <w:color w:val="000000"/>
        </w:rPr>
        <w:t>”</w:t>
      </w:r>
      <w:r>
        <w:rPr>
          <w:rFonts w:ascii="Times New Roman;sans-serif" w:hAnsi="Times New Roman;sans-serif"/>
          <w:b w:val="false"/>
          <w:color w:val="000000"/>
          <w:sz w:val="22"/>
        </w:rPr>
        <w:t>).</w:t>
      </w:r>
    </w:p>
    <w:p>
      <w:pPr>
        <w:pStyle w:val="TextBody"/>
        <w:bidi w:val="0"/>
        <w:spacing w:lineRule="auto" w:line="240" w:before="0" w:after="200"/>
        <w:jc w:val="left"/>
        <w:rPr/>
      </w:pPr>
      <w:r>
        <w:rPr>
          <w:rFonts w:ascii="Times New Roman;sans-serif" w:hAnsi="Times New Roman;sans-serif"/>
          <w:b w:val="false"/>
          <w:color w:val="000000"/>
          <w:sz w:val="20"/>
        </w:rPr>
        <w:t>1.    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xml:space="preserve">. For the purposes of this Policy, the following terms shall have the meanings set forth below. </w:t>
      </w:r>
    </w:p>
    <w:p>
      <w:pPr>
        <w:pStyle w:val="TextBody"/>
        <w:bidi w:val="0"/>
        <w:spacing w:lineRule="auto" w:line="240" w:before="0" w:after="200"/>
        <w:jc w:val="left"/>
        <w:rPr/>
      </w:pPr>
      <w:r>
        <w:rPr>
          <w:rFonts w:ascii="Times New Roman;sans-serif" w:hAnsi="Times New Roman;sans-serif"/>
          <w:b w:val="false"/>
          <w:color w:val="000000"/>
          <w:sz w:val="20"/>
        </w:rPr>
        <w:t>(a)    </w:t>
      </w:r>
      <w:r>
        <w:rPr>
          <w:color w:val="000000"/>
        </w:rPr>
        <w:t>“</w:t>
      </w:r>
      <w:r>
        <w:rPr>
          <w:rFonts w:ascii="Times New Roman;sans-serif" w:hAnsi="Times New Roman;sans-serif"/>
          <w:b/>
          <w:color w:val="000000"/>
          <w:sz w:val="22"/>
        </w:rPr>
        <w:t>Committee</w:t>
      </w:r>
      <w:r>
        <w:rPr>
          <w:color w:val="000000"/>
        </w:rPr>
        <w:t xml:space="preserve">” </w:t>
      </w:r>
      <w:r>
        <w:rPr>
          <w:rFonts w:ascii="Times New Roman;sans-serif" w:hAnsi="Times New Roman;sans-serif"/>
          <w:b w:val="false"/>
          <w:color w:val="000000"/>
          <w:sz w:val="22"/>
        </w:rPr>
        <w:t xml:space="preserve">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 </w:t>
      </w:r>
    </w:p>
    <w:p>
      <w:pPr>
        <w:pStyle w:val="TextBody"/>
        <w:bidi w:val="0"/>
        <w:spacing w:lineRule="auto" w:line="240" w:before="0" w:after="200"/>
        <w:jc w:val="left"/>
        <w:rPr/>
      </w:pPr>
      <w:r>
        <w:rPr>
          <w:rFonts w:ascii="Times New Roman;sans-serif" w:hAnsi="Times New Roman;sans-serif"/>
          <w:b w:val="false"/>
          <w:color w:val="000000"/>
          <w:sz w:val="20"/>
        </w:rPr>
        <w:t>(b)    </w:t>
      </w:r>
      <w:r>
        <w:rPr>
          <w:color w:val="000000"/>
        </w:rPr>
        <w:t>“</w:t>
      </w:r>
      <w:r>
        <w:rPr>
          <w:rFonts w:ascii="Times New Roman;sans-serif" w:hAnsi="Times New Roman;sans-serif"/>
          <w:b/>
          <w:color w:val="000000"/>
          <w:sz w:val="22"/>
        </w:rPr>
        <w:t>Covered Compensation</w:t>
      </w:r>
      <w:r>
        <w:rPr>
          <w:color w:val="000000"/>
        </w:rPr>
        <w:t xml:space="preserve">” </w:t>
      </w:r>
      <w:r>
        <w:rPr>
          <w:rFonts w:ascii="Times New Roman;sans-serif" w:hAnsi="Times New Roman;sans-serif"/>
          <w:b w:val="false"/>
          <w:color w:val="000000"/>
          <w:sz w:val="22"/>
        </w:rPr>
        <w:t xml:space="preserve">means any Incentive-based Compensation “received” by a Covered Executive during the applicable Recoupment Period;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00"/>
        <w:jc w:val="left"/>
        <w:rPr/>
      </w:pPr>
      <w:r>
        <w:rPr>
          <w:rFonts w:ascii="Times New Roman;sans-serif" w:hAnsi="Times New Roman;sans-serif"/>
          <w:b w:val="false"/>
          <w:color w:val="000000"/>
          <w:sz w:val="20"/>
        </w:rPr>
        <w:t>(i)    </w:t>
      </w:r>
      <w:r>
        <w:rPr>
          <w:rFonts w:ascii="Times New Roman;sans-serif" w:hAnsi="Times New Roman;sans-serif"/>
          <w:b w:val="false"/>
          <w:color w:val="000000"/>
          <w:sz w:val="22"/>
        </w:rPr>
        <w:t xml:space="preserve">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 </w:t>
      </w:r>
    </w:p>
    <w:p>
      <w:pPr>
        <w:pStyle w:val="TextBody"/>
        <w:bidi w:val="0"/>
        <w:spacing w:lineRule="auto" w:line="240" w:before="0" w:after="200"/>
        <w:jc w:val="left"/>
        <w:rPr/>
      </w:pPr>
      <w:r>
        <w:rPr>
          <w:rFonts w:ascii="Times New Roman;sans-serif" w:hAnsi="Times New Roman;sans-serif"/>
          <w:b w:val="false"/>
          <w:color w:val="000000"/>
          <w:sz w:val="20"/>
        </w:rPr>
        <w:t>(ii)    </w:t>
      </w:r>
      <w:r>
        <w:rPr>
          <w:rFonts w:ascii="Times New Roman;sans-serif" w:hAnsi="Times New Roman;sans-serif"/>
          <w:b w:val="false"/>
          <w:color w:val="000000"/>
          <w:sz w:val="22"/>
        </w:rPr>
        <w:t xml:space="preserve">such Covered Executive served as an Executive Officer at any time during the performance period applicable to such Incentive-based Compensation. </w:t>
      </w:r>
    </w:p>
    <w:p>
      <w:pPr>
        <w:pStyle w:val="TextBody"/>
        <w:bidi w:val="0"/>
        <w:spacing w:lineRule="auto" w:line="240" w:before="0" w:after="200"/>
        <w:jc w:val="left"/>
        <w:rPr/>
      </w:pPr>
      <w:r>
        <w:rPr>
          <w:rFonts w:ascii="Times New Roman;sans-serif" w:hAnsi="Times New Roman;sans-serif"/>
          <w:b w:val="false"/>
          <w:color w:val="000000"/>
          <w:sz w:val="22"/>
        </w:rPr>
        <w:t>For purposes of this Policy, Incentive-based Compensation is “</w:t>
      </w:r>
      <w:r>
        <w:rPr>
          <w:rFonts w:ascii="Times New Roman;sans-serif" w:hAnsi="Times New Roman;sans-serif"/>
          <w:b/>
          <w:color w:val="000000"/>
          <w:sz w:val="22"/>
        </w:rPr>
        <w:t>received</w:t>
      </w:r>
      <w:r>
        <w:rPr>
          <w:color w:val="000000"/>
        </w:rPr>
        <w:t xml:space="preserve">” </w:t>
      </w:r>
      <w:r>
        <w:rPr>
          <w:rFonts w:ascii="Times New Roman;sans-serif" w:hAnsi="Times New Roman;sans-serif"/>
          <w:b w:val="false"/>
          <w:color w:val="000000"/>
          <w:sz w:val="22"/>
        </w:rPr>
        <w:t>by a Covered Executive during the fiscal period in which the Financial Reporting Measure applicable to such Incentive-based Compensation (or portion thereof) is attained, even if the payment or grant of such Incentive-based Compensation is made thereafter.</w:t>
      </w:r>
    </w:p>
    <w:p>
      <w:pPr>
        <w:pStyle w:val="TextBody"/>
        <w:bidi w:val="0"/>
        <w:spacing w:lineRule="auto" w:line="240" w:before="0" w:after="200"/>
        <w:jc w:val="left"/>
        <w:rPr/>
      </w:pPr>
      <w:r>
        <w:rPr>
          <w:rFonts w:ascii="Times New Roman;sans-serif" w:hAnsi="Times New Roman;sans-serif"/>
          <w:b w:val="false"/>
          <w:color w:val="000000"/>
          <w:sz w:val="20"/>
        </w:rPr>
        <w:t>(c)    </w:t>
      </w:r>
      <w:r>
        <w:rPr>
          <w:color w:val="000000"/>
        </w:rPr>
        <w:t>“</w:t>
      </w:r>
      <w:r>
        <w:rPr>
          <w:rFonts w:ascii="Times New Roman;sans-serif" w:hAnsi="Times New Roman;sans-serif"/>
          <w:b/>
          <w:color w:val="000000"/>
          <w:sz w:val="22"/>
        </w:rPr>
        <w:t>Covered Executive</w:t>
      </w:r>
      <w:r>
        <w:rPr>
          <w:color w:val="000000"/>
        </w:rPr>
        <w:t xml:space="preserve">” </w:t>
      </w:r>
      <w:r>
        <w:rPr>
          <w:rFonts w:ascii="Times New Roman;sans-serif" w:hAnsi="Times New Roman;sans-serif"/>
          <w:b w:val="false"/>
          <w:color w:val="000000"/>
          <w:sz w:val="22"/>
        </w:rPr>
        <w:t xml:space="preserve">means any current or former Executive Officer. </w:t>
      </w:r>
    </w:p>
    <w:p>
      <w:pPr>
        <w:pStyle w:val="TextBody"/>
        <w:bidi w:val="0"/>
        <w:spacing w:lineRule="auto" w:line="240" w:before="0" w:after="200"/>
        <w:jc w:val="left"/>
        <w:rPr/>
      </w:pPr>
      <w:r>
        <w:rPr>
          <w:rFonts w:ascii="Times New Roman;sans-serif" w:hAnsi="Times New Roman;sans-serif"/>
          <w:b w:val="false"/>
          <w:color w:val="000000"/>
          <w:sz w:val="20"/>
        </w:rPr>
        <w:t>(d)    </w:t>
      </w:r>
      <w:r>
        <w:rPr>
          <w:color w:val="000000"/>
        </w:rPr>
        <w:t>“</w:t>
      </w:r>
      <w:r>
        <w:rPr>
          <w:rFonts w:ascii="Times New Roman;sans-serif" w:hAnsi="Times New Roman;sans-serif"/>
          <w:b/>
          <w:color w:val="000000"/>
          <w:sz w:val="22"/>
        </w:rPr>
        <w:t>Effective Date</w:t>
      </w:r>
      <w:r>
        <w:rPr>
          <w:color w:val="000000"/>
        </w:rPr>
        <w:t xml:space="preserve">” </w:t>
      </w:r>
      <w:r>
        <w:rPr>
          <w:rFonts w:ascii="Times New Roman;sans-serif" w:hAnsi="Times New Roman;sans-serif"/>
          <w:b w:val="false"/>
          <w:color w:val="000000"/>
          <w:sz w:val="22"/>
        </w:rPr>
        <w:t xml:space="preserve">means October 2, 2023. </w:t>
      </w:r>
    </w:p>
    <w:p>
      <w:pPr>
        <w:pStyle w:val="TextBody"/>
        <w:bidi w:val="0"/>
        <w:spacing w:lineRule="auto" w:line="240" w:before="0" w:after="200"/>
        <w:jc w:val="left"/>
        <w:rPr/>
      </w:pPr>
      <w:r>
        <w:rPr>
          <w:rFonts w:ascii="Times New Roman;sans-serif" w:hAnsi="Times New Roman;sans-serif"/>
          <w:b w:val="false"/>
          <w:color w:val="000000"/>
          <w:sz w:val="20"/>
        </w:rPr>
        <w:t>(e)    </w:t>
      </w: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 xml:space="preserve">means the U.S. Securities Exchange Act of 1934, as amended. </w:t>
      </w:r>
    </w:p>
    <w:p>
      <w:pPr>
        <w:pStyle w:val="TextBody"/>
        <w:bidi w:val="0"/>
        <w:spacing w:lineRule="auto" w:line="240" w:before="0" w:after="200"/>
        <w:jc w:val="left"/>
        <w:rPr/>
      </w:pPr>
      <w:r>
        <w:rPr>
          <w:rFonts w:ascii="Times New Roman;sans-serif" w:hAnsi="Times New Roman;sans-serif"/>
          <w:b w:val="false"/>
          <w:color w:val="000000"/>
          <w:sz w:val="20"/>
        </w:rPr>
        <w:t>(f)    </w:t>
      </w:r>
      <w:r>
        <w:rPr>
          <w:color w:val="000000"/>
        </w:rPr>
        <w:t>“</w:t>
      </w:r>
      <w:r>
        <w:rPr>
          <w:rFonts w:ascii="Times New Roman;sans-serif" w:hAnsi="Times New Roman;sans-serif"/>
          <w:b/>
          <w:color w:val="000000"/>
          <w:sz w:val="22"/>
        </w:rPr>
        <w:t>Executive Officer</w:t>
      </w:r>
      <w:r>
        <w:rPr>
          <w:color w:val="000000"/>
        </w:rPr>
        <w:t xml:space="preserve">” </w:t>
      </w:r>
      <w:r>
        <w:rPr>
          <w:rFonts w:ascii="Times New Roman;sans-serif" w:hAnsi="Times New Roman;sans-serif"/>
          <w:b w:val="false"/>
          <w:color w:val="000000"/>
          <w:sz w:val="22"/>
        </w:rPr>
        <w:t xml:space="preserve">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 </w:t>
      </w:r>
    </w:p>
    <w:p>
      <w:pPr>
        <w:pStyle w:val="TextBody"/>
        <w:bidi w:val="0"/>
        <w:spacing w:lineRule="auto" w:line="240" w:before="0" w:after="200"/>
        <w:jc w:val="left"/>
        <w:rPr/>
      </w:pPr>
      <w:r>
        <w:rPr>
          <w:rFonts w:ascii="Times New Roman;sans-serif" w:hAnsi="Times New Roman;sans-serif"/>
          <w:b w:val="false"/>
          <w:color w:val="000000"/>
          <w:sz w:val="20"/>
        </w:rPr>
        <w:t>(g)    </w:t>
      </w:r>
      <w:r>
        <w:rPr>
          <w:color w:val="000000"/>
        </w:rPr>
        <w:t>“</w:t>
      </w:r>
      <w:r>
        <w:rPr>
          <w:rFonts w:ascii="Times New Roman;sans-serif" w:hAnsi="Times New Roman;sans-serif"/>
          <w:b/>
          <w:color w:val="000000"/>
          <w:sz w:val="22"/>
        </w:rPr>
        <w:t>Financial Reporting Measure</w:t>
      </w:r>
      <w:r>
        <w:rPr>
          <w:color w:val="000000"/>
        </w:rPr>
        <w:t xml:space="preserve">” </w:t>
      </w:r>
      <w:r>
        <w:rPr>
          <w:rFonts w:ascii="Times New Roman;sans-serif" w:hAnsi="Times New Roman;sans-serif"/>
          <w:b w:val="false"/>
          <w:color w:val="000000"/>
          <w:sz w:val="22"/>
        </w:rPr>
        <w:t xml:space="preserve">means any (i) measure that is determined and presented in accordance with the accounting principles used in preparing the Company’s financial statements, (ii) stock price measure or (iii) total shareholder return measure (and any measures that are derived wholly or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 </w:t>
      </w:r>
    </w:p>
    <w:p>
      <w:pPr>
        <w:pStyle w:val="TextBody"/>
        <w:bidi w:val="0"/>
        <w:spacing w:lineRule="auto" w:line="240" w:before="0" w:after="200"/>
        <w:jc w:val="left"/>
        <w:rPr/>
      </w:pPr>
      <w:r>
        <w:rPr>
          <w:rFonts w:ascii="Times New Roman;sans-serif" w:hAnsi="Times New Roman;sans-serif"/>
          <w:b w:val="false"/>
          <w:color w:val="000000"/>
          <w:sz w:val="20"/>
        </w:rPr>
        <w:t>(h)    </w:t>
      </w:r>
      <w:r>
        <w:rPr>
          <w:color w:val="000000"/>
        </w:rPr>
        <w:t>“</w:t>
      </w:r>
      <w:r>
        <w:rPr>
          <w:rFonts w:ascii="Times New Roman;sans-serif" w:hAnsi="Times New Roman;sans-serif"/>
          <w:b/>
          <w:color w:val="000000"/>
          <w:sz w:val="22"/>
        </w:rPr>
        <w:t>Financial Restatement</w:t>
      </w:r>
      <w:r>
        <w:rPr>
          <w:color w:val="000000"/>
        </w:rPr>
        <w:t xml:space="preserve">” </w:t>
      </w:r>
      <w:r>
        <w:rPr>
          <w:rFonts w:ascii="Times New Roman;sans-serif" w:hAnsi="Times New Roman;sans-serif"/>
          <w:b w:val="false"/>
          <w:color w:val="000000"/>
          <w:sz w:val="22"/>
        </w:rPr>
        <w:t xml:space="preserve">means a restatement of the Company’s financial statements due to the Company’s material noncompliance with any financial reporting requirement under U.S. federal securities laws that is required in order to correct: </w:t>
      </w:r>
    </w:p>
    <w:p>
      <w:pPr>
        <w:pStyle w:val="TextBody"/>
        <w:bidi w:val="0"/>
        <w:spacing w:lineRule="auto" w:line="240" w:before="0" w:after="200"/>
        <w:jc w:val="left"/>
        <w:rPr/>
      </w:pPr>
      <w:r>
        <w:rPr>
          <w:rFonts w:ascii="Times New Roman;sans-serif" w:hAnsi="Times New Roman;sans-serif"/>
          <w:b w:val="false"/>
          <w:color w:val="000000"/>
          <w:sz w:val="20"/>
        </w:rPr>
        <w:t>(iii)    </w:t>
      </w:r>
      <w:r>
        <w:rPr>
          <w:rFonts w:ascii="Times New Roman;sans-serif" w:hAnsi="Times New Roman;sans-serif"/>
          <w:b w:val="false"/>
          <w:color w:val="000000"/>
          <w:sz w:val="22"/>
        </w:rPr>
        <w:t xml:space="preserve">an error in previously issued financial statements that is material to the previously issued financial statements; or </w:t>
      </w:r>
    </w:p>
    <w:p>
      <w:pPr>
        <w:pStyle w:val="TextBody"/>
        <w:bidi w:val="0"/>
        <w:spacing w:lineRule="auto" w:line="240" w:before="0" w:after="200"/>
        <w:jc w:val="left"/>
        <w:rPr/>
      </w:pPr>
      <w:r>
        <w:rPr>
          <w:rFonts w:ascii="Times New Roman;sans-serif" w:hAnsi="Times New Roman;sans-serif"/>
          <w:b w:val="false"/>
          <w:color w:val="000000"/>
          <w:sz w:val="20"/>
        </w:rPr>
        <w:t>(iv)    </w:t>
      </w:r>
      <w:r>
        <w:rPr>
          <w:rFonts w:ascii="Times New Roman;sans-serif" w:hAnsi="Times New Roman;sans-serif"/>
          <w:b w:val="false"/>
          <w:color w:val="000000"/>
          <w:sz w:val="22"/>
        </w:rPr>
        <w:t xml:space="preserve">an error that would result in a material misstatement if the error were (A) corrected in the current period or (B) left uncorrected in the current period. </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lineRule="auto" w:line="240" w:before="0" w:after="200"/>
        <w:jc w:val="left"/>
        <w:rPr/>
      </w:pPr>
      <w:r>
        <w:rPr>
          <w:rFonts w:ascii="Times New Roman;sans-serif" w:hAnsi="Times New Roman;sans-serif"/>
          <w:b w:val="false"/>
          <w:color w:val="000000"/>
          <w:sz w:val="20"/>
        </w:rPr>
        <w:t>(i)    </w:t>
      </w:r>
      <w:r>
        <w:rPr>
          <w:color w:val="000000"/>
        </w:rPr>
        <w:t>“</w:t>
      </w:r>
      <w:r>
        <w:rPr>
          <w:rFonts w:ascii="Times New Roman;sans-serif" w:hAnsi="Times New Roman;sans-serif"/>
          <w:b/>
          <w:color w:val="000000"/>
          <w:sz w:val="22"/>
        </w:rPr>
        <w:t>Incentive-based Compensation”</w:t>
      </w:r>
      <w:r>
        <w:rPr>
          <w:color w:val="000000"/>
        </w:rPr>
        <w:t xml:space="preserve"> </w:t>
      </w:r>
      <w:r>
        <w:rPr>
          <w:rFonts w:ascii="Times New Roman;sans-serif" w:hAnsi="Times New Roman;sans-serif"/>
          <w:b w:val="false"/>
          <w:color w:val="000000"/>
          <w:sz w:val="22"/>
        </w:rPr>
        <w:t>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r>
        <w:rPr>
          <w:color w:val="000000"/>
        </w:rPr>
        <w:t xml:space="preserve"> </w:t>
      </w:r>
    </w:p>
    <w:p>
      <w:pPr>
        <w:pStyle w:val="TextBody"/>
        <w:bidi w:val="0"/>
        <w:spacing w:lineRule="auto" w:line="240" w:before="0" w:after="200"/>
        <w:jc w:val="left"/>
        <w:rPr/>
      </w:pPr>
      <w:r>
        <w:rPr>
          <w:rFonts w:ascii="Times New Roman;sans-serif" w:hAnsi="Times New Roman;sans-serif"/>
          <w:b w:val="false"/>
          <w:color w:val="000000"/>
          <w:sz w:val="20"/>
        </w:rPr>
        <w:t>(j)    </w:t>
      </w:r>
      <w:r>
        <w:rPr>
          <w:color w:val="000000"/>
        </w:rPr>
        <w:t>“</w:t>
      </w:r>
      <w:r>
        <w:rPr>
          <w:rFonts w:ascii="Times New Roman;sans-serif" w:hAnsi="Times New Roman;sans-serif"/>
          <w:b/>
          <w:color w:val="000000"/>
          <w:sz w:val="22"/>
        </w:rPr>
        <w:t>Nasdaq</w:t>
      </w:r>
      <w:r>
        <w:rPr>
          <w:color w:val="000000"/>
        </w:rPr>
        <w:t xml:space="preserve">” </w:t>
      </w:r>
      <w:r>
        <w:rPr>
          <w:rFonts w:ascii="Times New Roman;sans-serif" w:hAnsi="Times New Roman;sans-serif"/>
          <w:b w:val="false"/>
          <w:color w:val="000000"/>
          <w:sz w:val="22"/>
        </w:rPr>
        <w:t>means the NASDAQ Global Select Market, or any successor thereof.</w:t>
      </w:r>
    </w:p>
    <w:p>
      <w:pPr>
        <w:pStyle w:val="TextBody"/>
        <w:bidi w:val="0"/>
        <w:spacing w:lineRule="auto" w:line="240" w:before="0" w:after="200"/>
        <w:jc w:val="left"/>
        <w:rPr/>
      </w:pPr>
      <w:r>
        <w:rPr>
          <w:rFonts w:ascii="Times New Roman;sans-serif" w:hAnsi="Times New Roman;sans-serif"/>
          <w:b w:val="false"/>
          <w:color w:val="000000"/>
          <w:sz w:val="20"/>
        </w:rPr>
        <w:t>(k)    </w:t>
      </w:r>
      <w:r>
        <w:rPr>
          <w:color w:val="000000"/>
        </w:rPr>
        <w:t>“</w:t>
      </w:r>
      <w:r>
        <w:rPr>
          <w:rFonts w:ascii="Times New Roman;sans-serif" w:hAnsi="Times New Roman;sans-serif"/>
          <w:b/>
          <w:color w:val="000000"/>
          <w:sz w:val="22"/>
        </w:rPr>
        <w:t>Recoupment Period</w:t>
      </w:r>
      <w:r>
        <w:rPr>
          <w:color w:val="000000"/>
        </w:rPr>
        <w:t xml:space="preserve">” </w:t>
      </w:r>
      <w:r>
        <w:rPr>
          <w:rFonts w:ascii="Times New Roman;sans-serif" w:hAnsi="Times New Roman;sans-serif"/>
          <w:b w:val="false"/>
          <w:color w:val="000000"/>
          <w:sz w:val="22"/>
        </w:rPr>
        <w:t xml:space="preserve">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 </w:t>
      </w:r>
    </w:p>
    <w:p>
      <w:pPr>
        <w:pStyle w:val="TextBody"/>
        <w:bidi w:val="0"/>
        <w:spacing w:lineRule="auto" w:line="240" w:before="0" w:after="200"/>
        <w:jc w:val="left"/>
        <w:rPr/>
      </w:pPr>
      <w:r>
        <w:rPr>
          <w:rFonts w:ascii="Times New Roman;sans-serif" w:hAnsi="Times New Roman;sans-serif"/>
          <w:b w:val="false"/>
          <w:color w:val="000000"/>
          <w:sz w:val="20"/>
        </w:rPr>
        <w:t>(l)    </w:t>
      </w:r>
      <w:r>
        <w:rPr>
          <w:color w:val="000000"/>
        </w:rPr>
        <w:t>“</w:t>
      </w:r>
      <w:r>
        <w:rPr>
          <w:rFonts w:ascii="Times New Roman;sans-serif" w:hAnsi="Times New Roman;sans-serif"/>
          <w:b/>
          <w:color w:val="000000"/>
          <w:sz w:val="22"/>
        </w:rPr>
        <w:t>Recoupment Trigger Date</w:t>
      </w:r>
      <w:r>
        <w:rPr>
          <w:color w:val="000000"/>
        </w:rPr>
        <w:t xml:space="preserve">” </w:t>
      </w:r>
      <w:r>
        <w:rPr>
          <w:rFonts w:ascii="Times New Roman;sans-serif" w:hAnsi="Times New Roman;sans-serif"/>
          <w:b w:val="false"/>
          <w:color w:val="000000"/>
          <w:sz w:val="22"/>
        </w:rPr>
        <w:t>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pStyle w:val="TextBody"/>
        <w:bidi w:val="0"/>
        <w:spacing w:lineRule="auto" w:line="240" w:before="0" w:after="200"/>
        <w:jc w:val="left"/>
        <w:rPr/>
      </w:pPr>
      <w:r>
        <w:rPr>
          <w:rFonts w:ascii="Times New Roman;sans-serif" w:hAnsi="Times New Roman;sans-serif"/>
          <w:b w:val="false"/>
          <w:color w:val="000000"/>
          <w:sz w:val="20"/>
        </w:rPr>
        <w:t>2.    </w:t>
      </w:r>
      <w:r>
        <w:rPr>
          <w:rFonts w:ascii="Times New Roman;sans-serif" w:hAnsi="Times New Roman;sans-serif"/>
          <w:b w:val="false"/>
          <w:color w:val="000000"/>
          <w:sz w:val="22"/>
          <w:u w:val="single"/>
        </w:rPr>
        <w:t>Recoupment of Erroneously Awarded Compensation</w:t>
      </w:r>
      <w:r>
        <w:rPr>
          <w:rFonts w:ascii="Times New Roman;sans-serif" w:hAnsi="Times New Roman;sans-serif"/>
          <w:b w:val="false"/>
          <w:color w:val="000000"/>
          <w:sz w:val="22"/>
        </w:rPr>
        <w:t xml:space="preserve">. </w:t>
      </w:r>
    </w:p>
    <w:p>
      <w:pPr>
        <w:pStyle w:val="TextBody"/>
        <w:bidi w:val="0"/>
        <w:spacing w:lineRule="auto" w:line="240" w:before="0" w:after="200"/>
        <w:jc w:val="left"/>
        <w:rPr/>
      </w:pPr>
      <w:r>
        <w:rPr>
          <w:rFonts w:ascii="Times New Roman;sans-serif" w:hAnsi="Times New Roman;sans-serif"/>
          <w:b w:val="false"/>
          <w:color w:val="000000"/>
          <w:sz w:val="20"/>
        </w:rPr>
        <w:t>(a)    </w:t>
      </w:r>
      <w:r>
        <w:rPr>
          <w:rFonts w:ascii="Times New Roman;sans-serif" w:hAnsi="Times New Roman;sans-serif"/>
          <w:b w:val="false"/>
          <w:color w:val="000000"/>
          <w:sz w:val="22"/>
        </w:rPr>
        <w:t>In the event of a Financial Restatement, if the amount of any Covered Compensation received by a Covered Executive (the “</w:t>
      </w:r>
      <w:r>
        <w:rPr>
          <w:rFonts w:ascii="Times New Roman;sans-serif" w:hAnsi="Times New Roman;sans-serif"/>
          <w:b/>
          <w:color w:val="000000"/>
          <w:sz w:val="22"/>
        </w:rPr>
        <w:t>Awarded Compensation</w:t>
      </w:r>
      <w:r>
        <w:rPr>
          <w:color w:val="000000"/>
        </w:rPr>
        <w:t>”</w:t>
      </w:r>
      <w:r>
        <w:rPr>
          <w:rFonts w:ascii="Times New Roman;sans-serif" w:hAnsi="Times New Roman;sans-serif"/>
          <w:b w:val="false"/>
          <w:color w:val="000000"/>
          <w:sz w:val="22"/>
        </w:rPr>
        <w:t>) exceeds the amount of such Covered Compensation that would have otherwise been received by such Covered Executive if calculated based on the Financial Restatement (the “</w:t>
      </w:r>
      <w:r>
        <w:rPr>
          <w:rFonts w:ascii="Times New Roman;sans-serif" w:hAnsi="Times New Roman;sans-serif"/>
          <w:b/>
          <w:color w:val="000000"/>
          <w:sz w:val="22"/>
        </w:rPr>
        <w:t>Adjusted Compensation</w:t>
      </w:r>
      <w:r>
        <w:rPr>
          <w:color w:val="000000"/>
        </w:rPr>
        <w:t>”</w:t>
      </w:r>
      <w:r>
        <w:rPr>
          <w:rFonts w:ascii="Times New Roman;sans-serif" w:hAnsi="Times New Roman;sans-serif"/>
          <w:b w:val="false"/>
          <w:color w:val="000000"/>
          <w:sz w:val="22"/>
        </w:rPr>
        <w:t>), the Company shall reasonably promptly recover from such Covered Executive an amount equal to the excess of the Awarded Compensation over the Adjusted Compensation, each calculated on a pre-tax basis (such excess amount, the “</w:t>
      </w:r>
      <w:r>
        <w:rPr>
          <w:rFonts w:ascii="Times New Roman;sans-serif" w:hAnsi="Times New Roman;sans-serif"/>
          <w:b/>
          <w:color w:val="000000"/>
          <w:sz w:val="22"/>
        </w:rPr>
        <w:t>Erroneously Awarded Compensation</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00"/>
        <w:jc w:val="left"/>
        <w:rPr/>
      </w:pPr>
      <w:r>
        <w:rPr>
          <w:rFonts w:ascii="Times New Roman;sans-serif" w:hAnsi="Times New Roman;sans-serif"/>
          <w:b w:val="false"/>
          <w:color w:val="000000"/>
          <w:sz w:val="20"/>
        </w:rPr>
        <w:t>(b)    </w:t>
      </w:r>
      <w:r>
        <w:rPr>
          <w:rFonts w:ascii="Times New Roman;sans-serif" w:hAnsi="Times New Roman;sans-serif"/>
          <w:b w:val="false"/>
          <w:color w:val="000000"/>
          <w:sz w:val="22"/>
        </w:rPr>
        <w:t xml:space="preserve">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 </w:t>
      </w:r>
    </w:p>
    <w:p>
      <w:pPr>
        <w:pStyle w:val="TextBody"/>
        <w:bidi w:val="0"/>
        <w:spacing w:lineRule="auto" w:line="240" w:before="0" w:after="200"/>
        <w:jc w:val="left"/>
        <w:rPr/>
      </w:pPr>
      <w:r>
        <w:rPr>
          <w:rFonts w:ascii="Times New Roman;sans-serif" w:hAnsi="Times New Roman;sans-serif"/>
          <w:b w:val="false"/>
          <w:color w:val="000000"/>
          <w:sz w:val="20"/>
        </w:rPr>
        <w:t>(c)    </w:t>
      </w:r>
      <w:r>
        <w:rPr>
          <w:rFonts w:ascii="Times New Roman;sans-serif" w:hAnsi="Times New Roman;sans-serif"/>
          <w:b w:val="false"/>
          <w:color w:val="000000"/>
          <w:sz w:val="22"/>
        </w:rPr>
        <w:t>For the avoidance of doubt, the Company’s obligation to recover Erroneously Awarded Compensation is not dependent on (i) if or when the restated financial statements are filed or</w:t>
      </w:r>
      <w:r>
        <w:rPr>
          <w:color w:val="000000"/>
        </w:rPr>
        <w:t xml:space="preserve"> </w:t>
      </w:r>
      <w:r>
        <w:rPr>
          <w:rFonts w:ascii="Times New Roman;sans-serif" w:hAnsi="Times New Roman;sans-serif"/>
          <w:b w:val="false"/>
          <w:color w:val="000000"/>
          <w:sz w:val="22"/>
        </w:rPr>
        <w:t xml:space="preserve">(ii) any fault of any Covered Executive for the accounting errors or other actions leading to a Financial Restatement. </w:t>
      </w:r>
    </w:p>
    <w:p>
      <w:pPr>
        <w:pStyle w:val="TextBody"/>
        <w:bidi w:val="0"/>
        <w:spacing w:lineRule="auto" w:line="240" w:before="0" w:after="200"/>
        <w:jc w:val="left"/>
        <w:rPr/>
      </w:pPr>
      <w:r>
        <w:rPr>
          <w:rFonts w:ascii="Times New Roman;sans-serif" w:hAnsi="Times New Roman;sans-serif"/>
          <w:b w:val="false"/>
          <w:color w:val="000000"/>
          <w:sz w:val="20"/>
        </w:rPr>
        <w:t>(d)    </w:t>
      </w:r>
      <w:r>
        <w:rPr>
          <w:rFonts w:ascii="Times New Roman;sans-serif" w:hAnsi="Times New Roman;sans-serif"/>
          <w:b w:val="false"/>
          <w:color w:val="000000"/>
          <w:sz w:val="22"/>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pStyle w:val="TextBody"/>
        <w:bidi w:val="0"/>
        <w:spacing w:lineRule="auto" w:line="240" w:before="0" w:after="200"/>
        <w:jc w:val="left"/>
        <w:rPr/>
      </w:pPr>
      <w:r>
        <w:rPr>
          <w:rFonts w:ascii="Times New Roman;sans-serif" w:hAnsi="Times New Roman;sans-serif"/>
          <w:b w:val="false"/>
          <w:color w:val="000000"/>
          <w:sz w:val="20"/>
        </w:rPr>
        <w:t>(i)    </w:t>
      </w:r>
      <w:r>
        <w:rPr>
          <w:rFonts w:ascii="Times New Roman;sans-serif" w:hAnsi="Times New Roman;sans-serif"/>
          <w:b w:val="false"/>
          <w:color w:val="000000"/>
          <w:sz w:val="22"/>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 or</w:t>
      </w:r>
    </w:p>
    <w:p>
      <w:pPr>
        <w:pStyle w:val="TextBody"/>
        <w:bidi w:val="0"/>
        <w:spacing w:lineRule="auto" w:line="240" w:before="0" w:after="200"/>
        <w:jc w:val="left"/>
        <w:rPr/>
      </w:pPr>
      <w:r>
        <w:rPr>
          <w:rFonts w:ascii="Times New Roman;sans-serif" w:hAnsi="Times New Roman;sans-serif"/>
          <w:b w:val="false"/>
          <w:color w:val="000000"/>
          <w:sz w:val="20"/>
        </w:rPr>
        <w:t>(ii)    </w:t>
      </w:r>
      <w:r>
        <w:rPr>
          <w:rFonts w:ascii="Times New Roman;sans-serif" w:hAnsi="Times New Roman;sans-serif"/>
          <w:b w:val="false"/>
          <w:color w:val="000000"/>
          <w:sz w:val="22"/>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sans-serif" w:hAnsi="Times New Roman;sans-serif"/>
          <w:b/>
          <w:color w:val="000000"/>
          <w:sz w:val="22"/>
        </w:rPr>
        <w:t>Code</w:t>
      </w:r>
      <w:r>
        <w:rPr>
          <w:color w:val="000000"/>
        </w:rPr>
        <w:t>”</w:t>
      </w:r>
      <w:r>
        <w:rPr>
          <w:rFonts w:ascii="Times New Roman;sans-serif" w:hAnsi="Times New Roman;sans-serif"/>
          <w:b w:val="false"/>
          <w:color w:val="000000"/>
          <w:sz w:val="22"/>
        </w:rPr>
        <w:t>).</w:t>
      </w:r>
    </w:p>
    <w:p>
      <w:pPr>
        <w:pStyle w:val="TextBody"/>
        <w:bidi w:val="0"/>
        <w:spacing w:lineRule="auto" w:line="240" w:before="0" w:after="200"/>
        <w:jc w:val="left"/>
        <w:rPr/>
      </w:pPr>
      <w:r>
        <w:rPr>
          <w:rFonts w:ascii="Times New Roman;sans-serif" w:hAnsi="Times New Roman;sans-serif"/>
          <w:b w:val="false"/>
          <w:color w:val="000000"/>
          <w:sz w:val="20"/>
        </w:rPr>
        <w:t>(e)    </w:t>
      </w:r>
      <w:r>
        <w:rPr>
          <w:rFonts w:ascii="Times New Roman;sans-serif" w:hAnsi="Times New Roman;sans-serif"/>
          <w:b w:val="false"/>
          <w:color w:val="000000"/>
          <w:sz w:val="22"/>
        </w:rPr>
        <w:t xml:space="preserve">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w:t>
      </w:r>
    </w:p>
    <w:p>
      <w:pPr>
        <w:pStyle w:val="TextBody"/>
        <w:bidi w:val="0"/>
        <w:spacing w:lineRule="auto" w:line="240" w:before="0" w:after="200"/>
        <w:jc w:val="left"/>
        <w:rPr/>
      </w:pPr>
      <w:r>
        <w:rPr>
          <w:rFonts w:ascii="Times New Roman;sans-serif" w:hAnsi="Times New Roman;sans-serif"/>
          <w:b w:val="false"/>
          <w:color w:val="000000"/>
          <w:sz w:val="20"/>
        </w:rPr>
        <w:t>(f)    </w:t>
      </w:r>
      <w:r>
        <w:rPr>
          <w:rFonts w:ascii="Times New Roman;sans-serif" w:hAnsi="Times New Roman;sans-serif"/>
          <w:b w:val="false"/>
          <w:color w:val="000000"/>
          <w:sz w:val="22"/>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pStyle w:val="TextBody"/>
        <w:bidi w:val="0"/>
        <w:spacing w:lineRule="auto" w:line="240" w:before="0" w:after="200"/>
        <w:jc w:val="left"/>
        <w:rPr/>
      </w:pPr>
      <w:r>
        <w:rPr>
          <w:rFonts w:ascii="Times New Roman;sans-serif" w:hAnsi="Times New Roman;sans-serif"/>
          <w:b w:val="false"/>
          <w:color w:val="000000"/>
          <w:sz w:val="20"/>
        </w:rPr>
        <w:t>3.    </w:t>
      </w:r>
      <w:r>
        <w:rPr>
          <w:rFonts w:ascii="Times New Roman;sans-serif" w:hAnsi="Times New Roman;sans-serif"/>
          <w:b w:val="false"/>
          <w:color w:val="000000"/>
          <w:sz w:val="22"/>
          <w:u w:val="single"/>
        </w:rPr>
        <w:t>Administration</w:t>
      </w:r>
      <w:r>
        <w:rPr>
          <w:rFonts w:ascii="Times New Roman;sans-serif" w:hAnsi="Times New Roman;sans-serif"/>
          <w:b w:val="false"/>
          <w:color w:val="000000"/>
          <w:sz w:val="22"/>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00"/>
        <w:jc w:val="left"/>
        <w:rPr/>
      </w:pPr>
      <w:r>
        <w:rPr>
          <w:rFonts w:ascii="Times New Roman;sans-serif" w:hAnsi="Times New Roman;sans-serif"/>
          <w:b w:val="false"/>
          <w:color w:val="000000"/>
          <w:sz w:val="20"/>
        </w:rPr>
        <w:t>4.    </w:t>
      </w:r>
      <w:r>
        <w:rPr>
          <w:rFonts w:ascii="Times New Roman;sans-serif" w:hAnsi="Times New Roman;sans-serif"/>
          <w:b w:val="false"/>
          <w:color w:val="000000"/>
          <w:sz w:val="22"/>
          <w:u w:val="single"/>
        </w:rPr>
        <w:t>Amendment/Termination</w:t>
      </w:r>
      <w:r>
        <w:rPr>
          <w:rFonts w:ascii="Times New Roman;sans-serif" w:hAnsi="Times New Roman;sans-serif"/>
          <w:b w:val="false"/>
          <w:color w:val="000000"/>
          <w:sz w:val="22"/>
        </w:rPr>
        <w:t>. Subject to Section 10D of the Exchange Act and the Listing Rule,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spacing w:lineRule="auto" w:line="240" w:before="0" w:after="200"/>
        <w:jc w:val="left"/>
        <w:rPr/>
      </w:pPr>
      <w:r>
        <w:rPr>
          <w:rFonts w:ascii="Times New Roman;sans-serif" w:hAnsi="Times New Roman;sans-serif"/>
          <w:b w:val="false"/>
          <w:color w:val="000000"/>
          <w:sz w:val="20"/>
        </w:rPr>
        <w:t>5.    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 </w:t>
      </w:r>
    </w:p>
    <w:p>
      <w:pPr>
        <w:pStyle w:val="TextBody"/>
        <w:bidi w:val="0"/>
        <w:spacing w:lineRule="auto" w:line="240" w:before="0" w:after="200"/>
        <w:jc w:val="left"/>
        <w:rPr/>
      </w:pPr>
      <w:r>
        <w:rPr>
          <w:rFonts w:ascii="Times New Roman;sans-serif" w:hAnsi="Times New Roman;sans-serif"/>
          <w:b w:val="false"/>
          <w:color w:val="000000"/>
          <w:sz w:val="20"/>
        </w:rPr>
        <w:t>6.    </w:t>
      </w:r>
      <w:r>
        <w:rPr>
          <w:rFonts w:ascii="Times New Roman;sans-serif" w:hAnsi="Times New Roman;sans-serif"/>
          <w:b w:val="false"/>
          <w:color w:val="000000"/>
          <w:sz w:val="22"/>
          <w:u w:val="single"/>
        </w:rPr>
        <w:t>Other Compensation Clawback/Recoupment Rights</w:t>
      </w:r>
      <w:r>
        <w:rPr>
          <w:rFonts w:ascii="Times New Roman;sans-serif" w:hAnsi="Times New Roman;sans-serif"/>
          <w:b w:val="false"/>
          <w:color w:val="000000"/>
          <w:sz w:val="22"/>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that any amounts recouped or clawed back under any other policy that would be recoupable under this Policy shall count toward any required clawback or recoupment under this Policy and vice versa.</w:t>
      </w:r>
    </w:p>
    <w:p>
      <w:pPr>
        <w:pStyle w:val="TextBody"/>
        <w:bidi w:val="0"/>
        <w:spacing w:lineRule="auto" w:line="240" w:before="0" w:after="200"/>
        <w:jc w:val="left"/>
        <w:rPr/>
      </w:pPr>
      <w:r>
        <w:rPr>
          <w:rFonts w:ascii="Times New Roman;sans-serif" w:hAnsi="Times New Roman;sans-serif"/>
          <w:b w:val="false"/>
          <w:color w:val="000000"/>
          <w:sz w:val="20"/>
        </w:rPr>
        <w:t>7.    </w:t>
      </w:r>
      <w:r>
        <w:rPr>
          <w:rFonts w:ascii="Times New Roman;sans-serif" w:hAnsi="Times New Roman;sans-serif"/>
          <w:b w:val="false"/>
          <w:color w:val="000000"/>
          <w:sz w:val="22"/>
          <w:u w:val="single"/>
        </w:rPr>
        <w:t>Exempt Compensation</w:t>
      </w:r>
      <w:r>
        <w:rPr>
          <w:rFonts w:ascii="Times New Roman;sans-serif" w:hAnsi="Times New Roman;sans-serif"/>
          <w:b w:val="false"/>
          <w:color w:val="000000"/>
          <w:sz w:val="22"/>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that</w:t>
      </w:r>
      <w:r>
        <w:rPr>
          <w:color w:val="000000"/>
        </w:rPr>
        <w:t xml:space="preserve"> </w:t>
      </w:r>
      <w:r>
        <w:rPr>
          <w:rFonts w:ascii="Times New Roman;sans-serif" w:hAnsi="Times New Roman;sans-serif"/>
          <w:b w:val="false"/>
          <w:color w:val="000000"/>
          <w:sz w:val="22"/>
        </w:rPr>
        <w:t xml:space="preserve">such amounts are in no way contingent on, and were not in any way granted on the basis of, the achievement of any Financial Reporting Measure performance goal. </w:t>
      </w:r>
    </w:p>
    <w:p>
      <w:pPr>
        <w:pStyle w:val="TextBody"/>
        <w:bidi w:val="0"/>
        <w:spacing w:lineRule="auto" w:line="240" w:before="0" w:after="200"/>
        <w:jc w:val="left"/>
        <w:rPr/>
      </w:pPr>
      <w:r>
        <w:rPr>
          <w:rFonts w:ascii="Times New Roman;sans-serif" w:hAnsi="Times New Roman;sans-serif"/>
          <w:b w:val="false"/>
          <w:color w:val="000000"/>
          <w:sz w:val="20"/>
        </w:rPr>
        <w:t>8.    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bidi w:val="0"/>
        <w:spacing w:lineRule="auto" w:line="240" w:before="0" w:after="200"/>
        <w:jc w:val="left"/>
        <w:rPr/>
      </w:pPr>
      <w:r>
        <w:rPr>
          <w:rFonts w:ascii="Times New Roman;sans-serif" w:hAnsi="Times New Roman;sans-serif"/>
          <w:b w:val="false"/>
          <w:color w:val="000000"/>
          <w:sz w:val="20"/>
        </w:rPr>
        <w:t>(a)    </w:t>
      </w:r>
      <w:r>
        <w:rPr>
          <w:rFonts w:ascii="Times New Roman;sans-serif" w:hAnsi="Times New Roman;sans-serif"/>
          <w:b w:val="false"/>
          <w:color w:val="000000"/>
          <w:sz w:val="22"/>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w:t>
      </w:r>
    </w:p>
    <w:p>
      <w:pPr>
        <w:pStyle w:val="TextBody"/>
        <w:bidi w:val="0"/>
        <w:spacing w:lineRule="auto" w:line="240" w:before="0" w:after="200"/>
        <w:jc w:val="left"/>
        <w:rPr/>
      </w:pPr>
      <w:r>
        <w:rPr>
          <w:rFonts w:ascii="Times New Roman;sans-serif" w:hAnsi="Times New Roman;sans-serif"/>
          <w:b w:val="false"/>
          <w:color w:val="000000"/>
          <w:sz w:val="20"/>
        </w:rPr>
        <w:t>(b)    </w:t>
      </w:r>
      <w:r>
        <w:rPr>
          <w:rFonts w:ascii="Times New Roman;sans-serif" w:hAnsi="Times New Roman;sans-serif"/>
          <w:b w:val="false"/>
          <w:color w:val="000000"/>
          <w:sz w:val="22"/>
        </w:rPr>
        <w:t xml:space="preserve">This Policy shall be binding and enforceable against all Covered Executives and their beneficiaries, heirs, executors, administrators or other legal representatives. </w:t>
      </w:r>
    </w:p>
    <w:p>
      <w:pPr>
        <w:pStyle w:val="TextBody"/>
        <w:bidi w:val="0"/>
        <w:spacing w:lineRule="auto" w:line="240" w:before="0" w:after="200"/>
        <w:jc w:val="left"/>
        <w:rPr/>
      </w:pPr>
      <w:r>
        <w:rPr>
          <w:rFonts w:ascii="Times New Roman;sans-serif" w:hAnsi="Times New Roman;sans-serif"/>
          <w:b w:val="false"/>
          <w:color w:val="000000"/>
          <w:sz w:val="20"/>
        </w:rPr>
        <w:t>(c)    </w:t>
      </w:r>
      <w:r>
        <w:rPr>
          <w:rFonts w:ascii="Times New Roman;sans-serif" w:hAnsi="Times New Roman;sans-serif"/>
          <w:b w:val="false"/>
          <w:color w:val="000000"/>
          <w:sz w:val="22"/>
        </w:rPr>
        <w:t xml:space="preserve">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Commonwealth of Virginia, without giving effect to any choice of law or conflict of law rules or provisions (whether of the Commonwealth of Virginia or any other jurisdiction) that would cause the application of the laws of any jurisdiction other than the Commonwealth of Virginia. </w:t>
      </w:r>
    </w:p>
    <w:p>
      <w:pPr>
        <w:pStyle w:val="TextBody"/>
        <w:bidi w:val="0"/>
        <w:spacing w:lineRule="auto" w:line="240" w:before="0" w:after="200"/>
        <w:jc w:val="left"/>
        <w:rPr/>
      </w:pPr>
      <w:r>
        <w:rPr>
          <w:rFonts w:ascii="Times New Roman;sans-serif" w:hAnsi="Times New Roman;sans-serif"/>
          <w:b w:val="false"/>
          <w:color w:val="000000"/>
          <w:sz w:val="20"/>
        </w:rPr>
        <w:t>(d)    </w:t>
      </w:r>
      <w:r>
        <w:rPr>
          <w:rFonts w:ascii="Times New Roman;sans-serif" w:hAnsi="Times New Roman;sans-serif"/>
          <w:b w:val="false"/>
          <w:color w:val="000000"/>
          <w:sz w:val="22"/>
        </w:rPr>
        <w:t xml:space="preserve">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00"/>
        <w:jc w:val="left"/>
        <w:rPr/>
      </w:pPr>
      <w:r>
        <w:rPr>
          <w:rFonts w:ascii="Times New Roman;sans-serif" w:hAnsi="Times New Roman;sans-serif"/>
          <w:b w:val="false"/>
          <w:color w:val="000000"/>
          <w:sz w:val="22"/>
        </w:rPr>
        <w:t>amongst themselves. To ensure the timely and economical resolution of disputes that arise in connection with this Policy, the federal and state courts sitting within the Commonwealth of Virginia shall be the sole and exclusive forums for any</w:t>
      </w:r>
      <w:r>
        <w:rPr>
          <w:color w:val="000000"/>
        </w:rPr>
        <w:t xml:space="preserve"> </w:t>
      </w:r>
      <w:r>
        <w:rPr>
          <w:rFonts w:ascii="Times New Roman;sans-serif" w:hAnsi="Times New Roman;sans-serif"/>
          <w:b w:val="false"/>
          <w:color w:val="000000"/>
          <w:sz w:val="22"/>
        </w:rPr>
        <w:t xml:space="preserve">and all disputes, claims, or causes of action arising from or relating to the enforcement, performance or interpretation of this Policy. The Covered Executives, their beneficiaries, heirs, executors, administrators and any other legal representative and the Company, shall not commence any suit, action or other proceeding arising out of or based upon this Agreement except in the United States District Court for the District of Virginia or any Virginia court, and hereby waive, and 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 To the fullest extent permitted by law, the Covered Executives, their beneficiaries, heirs, executors, administrators, and any other legal representative, and the Company, shall waive (and shall hereby be deemed to have waived) the right to resolve any such dispute through a trial by jury. </w:t>
      </w:r>
    </w:p>
    <w:p>
      <w:pPr>
        <w:pStyle w:val="TextBody"/>
        <w:bidi w:val="0"/>
        <w:spacing w:lineRule="auto" w:line="240" w:before="0" w:after="200"/>
        <w:jc w:val="left"/>
        <w:rPr/>
      </w:pPr>
      <w:r>
        <w:rPr>
          <w:rFonts w:ascii="Times New Roman;sans-serif" w:hAnsi="Times New Roman;sans-serif"/>
          <w:b w:val="false"/>
          <w:color w:val="000000"/>
          <w:sz w:val="20"/>
        </w:rPr>
        <w:t>(e)    </w:t>
      </w:r>
      <w:r>
        <w:rPr>
          <w:rFonts w:ascii="Times New Roman;sans-serif" w:hAnsi="Times New Roman;sans-serif"/>
          <w:b w:val="false"/>
          <w:color w:val="000000"/>
          <w:sz w:val="22"/>
        </w:rPr>
        <w:t xml:space="preserve">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 </w:t>
      </w:r>
    </w:p>
    <w:p>
      <w:pPr>
        <w:pStyle w:val="TextBody"/>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ahoma">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441683/000119312517167863/d363139dex32.htm" TargetMode="External"/><Relationship Id="rId6" Type="http://schemas.openxmlformats.org/officeDocument/2006/relationships/hyperlink" Target="http://www.sec.gov/Archives/edgar/data/1441683/000119312517164651/d363139dex34.htm" TargetMode="External"/><Relationship Id="rId7" Type="http://schemas.openxmlformats.org/officeDocument/2006/relationships/hyperlink" Target="http://www.sec.gov/Archives/edgar/data/1441683/000119312517167863/d363139dex41.htm" TargetMode="External"/><Relationship Id="rId8" Type="http://schemas.openxmlformats.org/officeDocument/2006/relationships/hyperlink" Target="http://www.sec.gov/Archives/edgar/data/1441683/000144168322000023/appn12312021ex43.htm" TargetMode="External"/><Relationship Id="rId9" Type="http://schemas.openxmlformats.org/officeDocument/2006/relationships/hyperlink" Target="http://www.sec.gov/Archives/edgar/data/1441683/000119312517143330/d363139dex101.htm" TargetMode="External"/><Relationship Id="rId10" Type="http://schemas.openxmlformats.org/officeDocument/2006/relationships/hyperlink" Target="http://www.sec.gov/Archives/edgar/data/1441683/000119312517164651/d363139dex102.htm" TargetMode="External"/><Relationship Id="rId11" Type="http://schemas.openxmlformats.org/officeDocument/2006/relationships/hyperlink" Target="http://www.sec.gov/Archives/edgar/data/1441683/000144168318000023/appn12312017ex1014.htm" TargetMode="External"/><Relationship Id="rId12" Type="http://schemas.openxmlformats.org/officeDocument/2006/relationships/hyperlink" Target="http://www.sec.gov/Archives/edgar/data/1441683/000144168318000023/appn12312017ex1015.htm" TargetMode="External"/><Relationship Id="rId13" Type="http://schemas.openxmlformats.org/officeDocument/2006/relationships/hyperlink" Target="http://www.sec.gov/Archives/edgar/data/1441683/000144168318000023/appn12312017ex1012.htm" TargetMode="External"/><Relationship Id="rId14" Type="http://schemas.openxmlformats.org/officeDocument/2006/relationships/hyperlink" Target="http://www.sec.gov/Archives/edgar/data/1441683/000144168318000023/appn12312017ex1013.htm" TargetMode="External"/><Relationship Id="rId15" Type="http://schemas.openxmlformats.org/officeDocument/2006/relationships/hyperlink" Target="http://www.sec.gov/Archives/edgar/data/1441683/000144168321000063/appn06302021ex101.htm" TargetMode="External"/><Relationship Id="rId16" Type="http://schemas.openxmlformats.org/officeDocument/2006/relationships/hyperlink" Target="http://www.sec.gov/Archives/edgar/data/1441683/000144168321000085/appn09302021ex101.htm" TargetMode="External"/><Relationship Id="rId17" Type="http://schemas.openxmlformats.org/officeDocument/2006/relationships/hyperlink" Target="http://www.sec.gov/Archives/edgar/data/1441683/000144168321000018/appn12312020ex103.htm" TargetMode="External"/><Relationship Id="rId18" Type="http://schemas.openxmlformats.org/officeDocument/2006/relationships/hyperlink" Target="http://www.sec.gov/Archives/edgar/data/1441683/000119312517164651/d363139dex104.htm" TargetMode="External"/><Relationship Id="rId19" Type="http://schemas.openxmlformats.org/officeDocument/2006/relationships/hyperlink" Target="http://www.sec.gov/Archives/edgar/data/1441683/000144168318000023/appn12312017ex1011.htm" TargetMode="External"/><Relationship Id="rId20" Type="http://schemas.openxmlformats.org/officeDocument/2006/relationships/hyperlink" Target="http://www.sec.gov/Archives/edgar/data/1441683/000119312517143330/d363139dex105.htm" TargetMode="External"/><Relationship Id="rId21" Type="http://schemas.openxmlformats.org/officeDocument/2006/relationships/hyperlink" Target="http://www.sec.gov/Archives/edgar/data/1441683/000119312517143330/d363139dex107.htm" TargetMode="External"/><Relationship Id="rId22" Type="http://schemas.openxmlformats.org/officeDocument/2006/relationships/hyperlink" Target="http://www.sec.gov/Archives/edgar/data/1441683/000144168320000048/appn03312020ex102.htm" TargetMode="External"/><Relationship Id="rId23" Type="http://schemas.openxmlformats.org/officeDocument/2006/relationships/hyperlink" Target="http://www.sec.gov/Archives/edgar/data/1441683/000144168323000021/appn12312022ex1016.htm" TargetMode="External"/><Relationship Id="rId24" Type="http://schemas.openxmlformats.org/officeDocument/2006/relationships/hyperlink" Target="http://www.sec.gov/Archives/edgar/data/1441683/000144168322000049/appn03312022ex102.htm" TargetMode="External"/><Relationship Id="rId25" Type="http://schemas.openxmlformats.org/officeDocument/2006/relationships/hyperlink" Target="http://www.sec.gov/Archives/edgar/data/1441683/000144168322000100/appn09302022ex101.htm" TargetMode="External"/><Relationship Id="rId26" Type="http://schemas.openxmlformats.org/officeDocument/2006/relationships/hyperlink" Target="http://www.sec.gov/Archives/edgar/data/1441683/000119312518126175/d543892dex101.htm" TargetMode="External"/><Relationship Id="rId27" Type="http://schemas.openxmlformats.org/officeDocument/2006/relationships/hyperlink" Target="http://www.sec.gov/Archives/edgar/data/1441683/000144168320000020/exhibit1015firstamendm.htm" TargetMode="External"/><Relationship Id="rId28" Type="http://schemas.openxmlformats.org/officeDocument/2006/relationships/hyperlink" Target="http://www.sec.gov/Archives/edgar/data/1441683/000144168320000020/exhibit1016secondamend.htm" TargetMode="External"/><Relationship Id="rId29" Type="http://schemas.openxmlformats.org/officeDocument/2006/relationships/hyperlink" Target="http://www.sec.gov/Archives/edgar/data/1441683/000144168322000023/appn12312021ex1021.htm" TargetMode="External"/><Relationship Id="rId30" Type="http://schemas.openxmlformats.org/officeDocument/2006/relationships/hyperlink" Target="http://www.sec.gov/Archives/edgar/data/1441683/000144168322000023/appn12312021ex1022.htm" TargetMode="External"/><Relationship Id="rId31" Type="http://schemas.openxmlformats.org/officeDocument/2006/relationships/hyperlink" Target="http://www.sec.gov/Archives/edgar/data/1441683/000119312517143330/d363139dex1011.htm" TargetMode="External"/><Relationship Id="rId32" Type="http://schemas.openxmlformats.org/officeDocument/2006/relationships/hyperlink" Target="http://www.sec.gov/Archives/edgar/data/1441683/000144168319000179/ex101-enterprisekdbsof.htm" TargetMode="External"/><Relationship Id="rId33" Type="http://schemas.openxmlformats.org/officeDocument/2006/relationships/hyperlink" Target="http://www.sec.gov/Archives/edgar/data/1441683/000144168323000093/appn09302023ex102.htm" TargetMode="External"/><Relationship Id="rId34" Type="http://schemas.openxmlformats.org/officeDocument/2006/relationships/hyperlink" Target="http://www.sec.gov/Archives/edgar/data/1441683/000144168323000021/appn12312022ex1027.htm" TargetMode="External"/><Relationship Id="rId35" Type="http://schemas.openxmlformats.org/officeDocument/2006/relationships/hyperlink" Target="http://www.sec.gov/Archives/edgar/data/1441683/000144168323000021/appn12312022ex1028.htm" TargetMode="External"/><Relationship Id="rId36" Type="http://schemas.openxmlformats.org/officeDocument/2006/relationships/hyperlink" Target="http://www.sec.gov/Archives/edgar/data/1441683/000144168323000056/appn3312023ex101.htm" TargetMode="External"/><Relationship Id="rId37" Type="http://schemas.openxmlformats.org/officeDocument/2006/relationships/hyperlink" Target="http://www.sec.gov/Archives/edgar/data/1441683/000144168323000073/appn06302023ex101.htm" TargetMode="External"/><Relationship Id="rId38" Type="http://schemas.openxmlformats.org/officeDocument/2006/relationships/hyperlink" Target="http://www.sec.gov/Archives/edgar/data/1441683/000144168323000073/appn06302023ex101.htm" TargetMode="External"/><Relationship Id="rId39" Type="http://schemas.openxmlformats.org/officeDocument/2006/relationships/hyperlink" Target="http://www.sec.gov/Archives/edgar/data/1441683/000144168323000073/appn06302023ex101.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58414</Words>
  <Characters>325998</Characters>
  <CharactersWithSpaces>382479</CharactersWithSpaces>
  <Paragraphs>4076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