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9"/>
        <w:spacing w:after="0"/>
        <w:rPr>
          <w:sz w:val="20"/>
          <w:szCs w:val="20"/>
          <w:color w:val="auto"/>
        </w:rPr>
      </w:pPr>
      <w:r>
        <w:rPr>
          <w:rFonts w:ascii="Arial" w:cs="Arial" w:eastAsia="Arial" w:hAnsi="Arial"/>
          <w:sz w:val="30"/>
          <w:szCs w:val="30"/>
          <w:color w:val="auto"/>
          <w:highlight w:val="black"/>
        </w:rPr>
        <w:drawing>
          <wp:anchor simplePos="0" relativeHeight="251657728" behindDoc="1" locked="0" layoutInCell="0" allowOverlap="1">
            <wp:simplePos x="0" y="0"/>
            <wp:positionH relativeFrom="page">
              <wp:posOffset>302260</wp:posOffset>
            </wp:positionH>
            <wp:positionV relativeFrom="page">
              <wp:posOffset>688975</wp:posOffset>
            </wp:positionV>
            <wp:extent cx="69437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3725" cy="17145"/>
                    </a:xfrm>
                    <a:prstGeom prst="rect">
                      <a:avLst/>
                    </a:prstGeom>
                    <a:noFill/>
                  </pic:spPr>
                </pic:pic>
              </a:graphicData>
            </a:graphic>
          </wp:anchor>
        </w:drawing>
        <w:drawing>
          <wp:anchor simplePos="0" relativeHeight="251657728" behindDoc="1" locked="0" layoutInCell="0" allowOverlap="1">
            <wp:simplePos x="0" y="0"/>
            <wp:positionH relativeFrom="page">
              <wp:posOffset>302260</wp:posOffset>
            </wp:positionH>
            <wp:positionV relativeFrom="page">
              <wp:posOffset>662940</wp:posOffset>
            </wp:positionV>
            <wp:extent cx="69437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3725" cy="8890"/>
                    </a:xfrm>
                    <a:prstGeom prst="rect">
                      <a:avLst/>
                    </a:prstGeom>
                    <a:noFill/>
                  </pic:spPr>
                </pic:pic>
              </a:graphicData>
            </a:graphic>
          </wp:anchor>
        </w:drawing>
        <w:t>UNITED STATES</w:t>
      </w:r>
    </w:p>
    <w:p>
      <w:pPr>
        <w:spacing w:after="0" w:line="20" w:lineRule="exact"/>
        <w:rPr>
          <w:sz w:val="24"/>
          <w:szCs w:val="24"/>
          <w:color w:val="auto"/>
        </w:rPr>
      </w:pPr>
    </w:p>
    <w:p>
      <w:pPr>
        <w:jc w:val="center"/>
        <w:ind w:right="-189"/>
        <w:spacing w:after="0"/>
        <w:rPr>
          <w:sz w:val="20"/>
          <w:szCs w:val="20"/>
          <w:color w:val="auto"/>
        </w:rPr>
      </w:pPr>
      <w:r>
        <w:rPr>
          <w:rFonts w:ascii="Arial" w:cs="Arial" w:eastAsia="Arial" w:hAnsi="Arial"/>
          <w:sz w:val="30"/>
          <w:szCs w:val="30"/>
          <w:color w:val="auto"/>
        </w:rPr>
        <w:t>SECURITIES AND EXCHANGE COMMISSION</w:t>
      </w:r>
    </w:p>
    <w:p>
      <w:pPr>
        <w:spacing w:after="0" w:line="16" w:lineRule="exact"/>
        <w:rPr>
          <w:sz w:val="24"/>
          <w:szCs w:val="24"/>
          <w:color w:val="auto"/>
        </w:rPr>
      </w:pPr>
    </w:p>
    <w:p>
      <w:pPr>
        <w:jc w:val="center"/>
        <w:ind w:right="-189"/>
        <w:spacing w:after="0"/>
        <w:rPr>
          <w:sz w:val="20"/>
          <w:szCs w:val="20"/>
          <w:color w:val="auto"/>
        </w:rPr>
      </w:pPr>
      <w:r>
        <w:rPr>
          <w:rFonts w:ascii="Arial" w:cs="Arial" w:eastAsia="Arial" w:hAnsi="Arial"/>
          <w:sz w:val="19"/>
          <w:szCs w:val="19"/>
          <w:color w:val="auto"/>
          <w:highlight w:val="black"/>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2188845</wp:posOffset>
            </wp:positionH>
            <wp:positionV relativeFrom="paragraph">
              <wp:posOffset>128270</wp:posOffset>
            </wp:positionV>
            <wp:extent cx="2777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189"/>
        <w:spacing w:after="0"/>
        <w:rPr>
          <w:sz w:val="20"/>
          <w:szCs w:val="20"/>
          <w:color w:val="auto"/>
        </w:rPr>
      </w:pPr>
      <w:r>
        <w:rPr>
          <w:rFonts w:ascii="Arial" w:cs="Arial" w:eastAsia="Arial" w:hAnsi="Arial"/>
          <w:sz w:val="30"/>
          <w:szCs w:val="30"/>
          <w:color w:val="auto"/>
          <w:highlight w:val="black"/>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2188845</wp:posOffset>
            </wp:positionH>
            <wp:positionV relativeFrom="paragraph">
              <wp:posOffset>122555</wp:posOffset>
            </wp:positionV>
            <wp:extent cx="2777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47" w:lineRule="exact"/>
        <w:rPr>
          <w:sz w:val="24"/>
          <w:szCs w:val="24"/>
          <w:color w:val="auto"/>
        </w:rPr>
      </w:pPr>
    </w:p>
    <w:p>
      <w:pPr>
        <w:jc w:val="center"/>
        <w:ind w:right="-189"/>
        <w:spacing w:after="0"/>
        <w:rPr>
          <w:sz w:val="20"/>
          <w:szCs w:val="20"/>
          <w:color w:val="auto"/>
        </w:rPr>
      </w:pPr>
      <w:r>
        <w:rPr>
          <w:rFonts w:ascii="Arial" w:cs="Arial" w:eastAsia="Arial" w:hAnsi="Arial"/>
          <w:sz w:val="19"/>
          <w:szCs w:val="19"/>
          <w:color w:val="auto"/>
          <w:highlight w:val="black"/>
        </w:rPr>
        <w:t>CURRENT REPORT</w:t>
      </w:r>
    </w:p>
    <w:p>
      <w:pPr>
        <w:spacing w:after="0" w:line="133" w:lineRule="exact"/>
        <w:rPr>
          <w:sz w:val="24"/>
          <w:szCs w:val="24"/>
          <w:color w:val="auto"/>
        </w:rPr>
      </w:pPr>
    </w:p>
    <w:p>
      <w:pPr>
        <w:jc w:val="center"/>
        <w:ind w:right="-189"/>
        <w:spacing w:after="0"/>
        <w:rPr>
          <w:sz w:val="20"/>
          <w:szCs w:val="20"/>
          <w:color w:val="auto"/>
        </w:rPr>
      </w:pPr>
      <w:r>
        <w:rPr>
          <w:rFonts w:ascii="Arial" w:cs="Arial" w:eastAsia="Arial" w:hAnsi="Arial"/>
          <w:sz w:val="19"/>
          <w:szCs w:val="19"/>
          <w:color w:val="auto"/>
        </w:rPr>
        <w:t>Pursuant to Section 13 or 15(d) of the Securities Exchange Act of 1934</w:t>
      </w:r>
    </w:p>
    <w:p>
      <w:pPr>
        <w:spacing w:after="0" w:line="173" w:lineRule="exact"/>
        <w:rPr>
          <w:sz w:val="24"/>
          <w:szCs w:val="24"/>
          <w:color w:val="auto"/>
        </w:rPr>
      </w:pPr>
    </w:p>
    <w:p>
      <w:pPr>
        <w:jc w:val="center"/>
        <w:ind w:right="-189"/>
        <w:spacing w:after="0"/>
        <w:rPr>
          <w:sz w:val="20"/>
          <w:szCs w:val="20"/>
          <w:color w:val="auto"/>
        </w:rPr>
      </w:pPr>
      <w:r>
        <w:rPr>
          <w:rFonts w:ascii="Arial" w:cs="Arial" w:eastAsia="Arial" w:hAnsi="Arial"/>
          <w:sz w:val="16"/>
          <w:szCs w:val="16"/>
          <w:color w:val="auto"/>
        </w:rPr>
        <w:t>Date of Report (Date of earliest event reported): June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2188845</wp:posOffset>
            </wp:positionH>
            <wp:positionV relativeFrom="paragraph">
              <wp:posOffset>124460</wp:posOffset>
            </wp:positionV>
            <wp:extent cx="27774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189"/>
        <w:spacing w:after="0"/>
        <w:rPr>
          <w:sz w:val="20"/>
          <w:szCs w:val="20"/>
          <w:color w:val="auto"/>
        </w:rPr>
      </w:pPr>
      <w:r>
        <w:rPr>
          <w:rFonts w:ascii="Arial" w:cs="Arial" w:eastAsia="Arial" w:hAnsi="Arial"/>
          <w:sz w:val="38"/>
          <w:szCs w:val="38"/>
          <w:color w:val="auto"/>
          <w:highlight w:val="black"/>
        </w:rPr>
        <w:t>Appian Corporation</w:t>
      </w:r>
    </w:p>
    <w:p>
      <w:pPr>
        <w:spacing w:after="0" w:line="3" w:lineRule="exact"/>
        <w:rPr>
          <w:sz w:val="24"/>
          <w:szCs w:val="24"/>
          <w:color w:val="auto"/>
        </w:rPr>
      </w:pPr>
    </w:p>
    <w:p>
      <w:pPr>
        <w:jc w:val="center"/>
        <w:ind w:right="-18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2188845</wp:posOffset>
            </wp:positionH>
            <wp:positionV relativeFrom="paragraph">
              <wp:posOffset>127000</wp:posOffset>
            </wp:positionV>
            <wp:extent cx="2777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tbl>
      <w:tblPr>
        <w:tblLayout w:type="fixed"/>
        <w:tblInd w:w="990" w:type="dxa"/>
        <w:tblCellMar>
          <w:top w:w="0" w:type="dxa"/>
          <w:left w:w="0" w:type="dxa"/>
          <w:bottom w:w="0" w:type="dxa"/>
          <w:right w:w="0" w:type="dxa"/>
        </w:tblCellMar>
      </w:tblPr>
      <w:tr>
        <w:trPr>
          <w:trHeight w:val="195"/>
        </w:trPr>
        <w:tc>
          <w:tcPr>
            <w:tcW w:w="3360" w:type="dxa"/>
            <w:vAlign w:val="bottom"/>
          </w:tcPr>
          <w:p>
            <w:pPr>
              <w:jc w:val="center"/>
              <w:ind w:right="781"/>
              <w:spacing w:after="0"/>
              <w:rPr>
                <w:sz w:val="20"/>
                <w:szCs w:val="20"/>
                <w:color w:val="auto"/>
              </w:rPr>
            </w:pPr>
            <w:r>
              <w:rPr>
                <w:rFonts w:ascii="Arial" w:cs="Arial" w:eastAsia="Arial" w:hAnsi="Arial"/>
                <w:sz w:val="17"/>
                <w:szCs w:val="17"/>
                <w:color w:val="auto"/>
              </w:rPr>
              <w:t>Delaware</w:t>
            </w:r>
          </w:p>
        </w:tc>
        <w:tc>
          <w:tcPr>
            <w:tcW w:w="3580" w:type="dxa"/>
            <w:vAlign w:val="bottom"/>
          </w:tcPr>
          <w:p>
            <w:pPr>
              <w:jc w:val="right"/>
              <w:ind w:right="1361"/>
              <w:spacing w:after="0"/>
              <w:rPr>
                <w:sz w:val="20"/>
                <w:szCs w:val="20"/>
                <w:color w:val="auto"/>
              </w:rPr>
            </w:pPr>
            <w:r>
              <w:rPr>
                <w:rFonts w:ascii="Arial" w:cs="Arial" w:eastAsia="Arial" w:hAnsi="Arial"/>
                <w:sz w:val="17"/>
                <w:szCs w:val="17"/>
                <w:color w:val="auto"/>
              </w:rPr>
              <w:t>001-38098</w:t>
            </w:r>
          </w:p>
        </w:tc>
        <w:tc>
          <w:tcPr>
            <w:tcW w:w="2140" w:type="dxa"/>
            <w:vAlign w:val="bottom"/>
          </w:tcPr>
          <w:p>
            <w:pPr>
              <w:jc w:val="right"/>
              <w:ind w:right="43"/>
              <w:spacing w:after="0"/>
              <w:rPr>
                <w:sz w:val="20"/>
                <w:szCs w:val="20"/>
                <w:color w:val="auto"/>
              </w:rPr>
            </w:pPr>
            <w:r>
              <w:rPr>
                <w:rFonts w:ascii="Arial" w:cs="Arial" w:eastAsia="Arial" w:hAnsi="Arial"/>
                <w:sz w:val="17"/>
                <w:szCs w:val="17"/>
                <w:color w:val="auto"/>
              </w:rPr>
              <w:t>54-1956084</w:t>
            </w:r>
          </w:p>
        </w:tc>
      </w:tr>
      <w:tr>
        <w:trPr>
          <w:trHeight w:val="222"/>
        </w:trPr>
        <w:tc>
          <w:tcPr>
            <w:tcW w:w="3360" w:type="dxa"/>
            <w:vAlign w:val="bottom"/>
          </w:tcPr>
          <w:p>
            <w:pPr>
              <w:jc w:val="center"/>
              <w:ind w:right="801"/>
              <w:spacing w:after="0"/>
              <w:rPr>
                <w:sz w:val="20"/>
                <w:szCs w:val="20"/>
                <w:color w:val="auto"/>
              </w:rPr>
            </w:pPr>
            <w:r>
              <w:rPr>
                <w:rFonts w:ascii="Arial" w:cs="Arial" w:eastAsia="Arial" w:hAnsi="Arial"/>
                <w:sz w:val="14"/>
                <w:szCs w:val="14"/>
                <w:color w:val="auto"/>
              </w:rPr>
              <w:t>(State or Other Jurisdiction</w:t>
            </w:r>
          </w:p>
        </w:tc>
        <w:tc>
          <w:tcPr>
            <w:tcW w:w="3580" w:type="dxa"/>
            <w:vAlign w:val="bottom"/>
          </w:tcPr>
          <w:p>
            <w:pPr>
              <w:jc w:val="center"/>
              <w:ind w:right="61"/>
              <w:spacing w:after="0"/>
              <w:rPr>
                <w:sz w:val="20"/>
                <w:szCs w:val="20"/>
                <w:color w:val="auto"/>
              </w:rPr>
            </w:pPr>
            <w:r>
              <w:rPr>
                <w:rFonts w:ascii="Arial" w:cs="Arial" w:eastAsia="Arial" w:hAnsi="Arial"/>
                <w:sz w:val="14"/>
                <w:szCs w:val="14"/>
                <w:color w:val="auto"/>
              </w:rPr>
              <w:t>(Commission File Number)</w:t>
            </w:r>
          </w:p>
        </w:tc>
        <w:tc>
          <w:tcPr>
            <w:tcW w:w="2140" w:type="dxa"/>
            <w:vAlign w:val="bottom"/>
          </w:tcPr>
          <w:p>
            <w:pPr>
              <w:jc w:val="center"/>
              <w:ind w:left="863"/>
              <w:spacing w:after="0"/>
              <w:rPr>
                <w:sz w:val="20"/>
                <w:szCs w:val="20"/>
                <w:color w:val="auto"/>
              </w:rPr>
            </w:pPr>
            <w:r>
              <w:rPr>
                <w:rFonts w:ascii="Arial" w:cs="Arial" w:eastAsia="Arial" w:hAnsi="Arial"/>
                <w:sz w:val="14"/>
                <w:szCs w:val="14"/>
                <w:color w:val="auto"/>
                <w:highlight w:val="black"/>
              </w:rPr>
              <w:t>(I.R.S. Employer</w:t>
            </w:r>
          </w:p>
        </w:tc>
      </w:tr>
      <w:tr>
        <w:trPr>
          <w:trHeight w:val="162"/>
        </w:trPr>
        <w:tc>
          <w:tcPr>
            <w:tcW w:w="3360" w:type="dxa"/>
            <w:vAlign w:val="bottom"/>
          </w:tcPr>
          <w:p>
            <w:pPr>
              <w:jc w:val="center"/>
              <w:ind w:right="801"/>
              <w:spacing w:after="0"/>
              <w:rPr>
                <w:sz w:val="20"/>
                <w:szCs w:val="20"/>
                <w:color w:val="auto"/>
              </w:rPr>
            </w:pPr>
            <w:r>
              <w:rPr>
                <w:rFonts w:ascii="Arial" w:cs="Arial" w:eastAsia="Arial" w:hAnsi="Arial"/>
                <w:sz w:val="14"/>
                <w:szCs w:val="14"/>
                <w:color w:val="auto"/>
                <w:highlight w:val="black"/>
              </w:rPr>
              <w:t>of Incorporation)</w:t>
            </w:r>
          </w:p>
        </w:tc>
        <w:tc>
          <w:tcPr>
            <w:tcW w:w="3580" w:type="dxa"/>
            <w:vAlign w:val="bottom"/>
          </w:tcPr>
          <w:p>
            <w:pPr>
              <w:spacing w:after="0"/>
              <w:rPr>
                <w:sz w:val="14"/>
                <w:szCs w:val="14"/>
                <w:color w:val="auto"/>
              </w:rPr>
            </w:pPr>
          </w:p>
        </w:tc>
        <w:tc>
          <w:tcPr>
            <w:tcW w:w="2140" w:type="dxa"/>
            <w:vAlign w:val="bottom"/>
          </w:tcPr>
          <w:p>
            <w:pPr>
              <w:jc w:val="center"/>
              <w:ind w:left="923"/>
              <w:spacing w:after="0"/>
              <w:rPr>
                <w:sz w:val="20"/>
                <w:szCs w:val="20"/>
                <w:color w:val="auto"/>
              </w:rPr>
            </w:pPr>
            <w:r>
              <w:rPr>
                <w:rFonts w:ascii="Arial" w:cs="Arial" w:eastAsia="Arial" w:hAnsi="Arial"/>
                <w:sz w:val="14"/>
                <w:szCs w:val="14"/>
                <w:color w:val="auto"/>
                <w:highlight w:val="black"/>
              </w:rPr>
              <w:t>Identification No.)</w:t>
            </w:r>
          </w:p>
        </w:tc>
      </w:tr>
      <w:tr>
        <w:trPr>
          <w:trHeight w:val="385"/>
        </w:trPr>
        <w:tc>
          <w:tcPr>
            <w:tcW w:w="3360" w:type="dxa"/>
            <w:vAlign w:val="bottom"/>
          </w:tcPr>
          <w:p>
            <w:pPr>
              <w:jc w:val="center"/>
              <w:ind w:right="801"/>
              <w:spacing w:after="0"/>
              <w:rPr>
                <w:sz w:val="20"/>
                <w:szCs w:val="20"/>
                <w:color w:val="auto"/>
              </w:rPr>
            </w:pPr>
            <w:r>
              <w:rPr>
                <w:rFonts w:ascii="Arial" w:cs="Arial" w:eastAsia="Arial" w:hAnsi="Arial"/>
                <w:sz w:val="17"/>
                <w:szCs w:val="17"/>
                <w:color w:val="auto"/>
              </w:rPr>
              <w:t>7950 Jones Branch Drive</w:t>
            </w:r>
          </w:p>
        </w:tc>
        <w:tc>
          <w:tcPr>
            <w:tcW w:w="35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16"/>
        </w:trPr>
        <w:tc>
          <w:tcPr>
            <w:tcW w:w="3360" w:type="dxa"/>
            <w:vAlign w:val="bottom"/>
          </w:tcPr>
          <w:p>
            <w:pPr>
              <w:jc w:val="center"/>
              <w:ind w:right="801"/>
              <w:spacing w:after="0"/>
              <w:rPr>
                <w:sz w:val="20"/>
                <w:szCs w:val="20"/>
                <w:color w:val="auto"/>
              </w:rPr>
            </w:pPr>
            <w:r>
              <w:rPr>
                <w:rFonts w:ascii="Arial" w:cs="Arial" w:eastAsia="Arial" w:hAnsi="Arial"/>
                <w:sz w:val="17"/>
                <w:szCs w:val="17"/>
                <w:color w:val="auto"/>
                <w:w w:val="99"/>
              </w:rPr>
              <w:t>McLean, VA</w:t>
            </w:r>
          </w:p>
        </w:tc>
        <w:tc>
          <w:tcPr>
            <w:tcW w:w="3580" w:type="dxa"/>
            <w:vAlign w:val="bottom"/>
          </w:tcPr>
          <w:p>
            <w:pPr>
              <w:spacing w:after="0"/>
              <w:rPr>
                <w:sz w:val="18"/>
                <w:szCs w:val="18"/>
                <w:color w:val="auto"/>
              </w:rPr>
            </w:pPr>
          </w:p>
        </w:tc>
        <w:tc>
          <w:tcPr>
            <w:tcW w:w="2140" w:type="dxa"/>
            <w:vAlign w:val="bottom"/>
          </w:tcPr>
          <w:p>
            <w:pPr>
              <w:jc w:val="right"/>
              <w:ind w:right="263"/>
              <w:spacing w:after="0"/>
              <w:rPr>
                <w:sz w:val="20"/>
                <w:szCs w:val="20"/>
                <w:color w:val="auto"/>
              </w:rPr>
            </w:pPr>
            <w:r>
              <w:rPr>
                <w:rFonts w:ascii="Arial" w:cs="Arial" w:eastAsia="Arial" w:hAnsi="Arial"/>
                <w:sz w:val="17"/>
                <w:szCs w:val="17"/>
                <w:color w:val="auto"/>
              </w:rPr>
              <w:t>22102</w:t>
            </w:r>
          </w:p>
        </w:tc>
      </w:tr>
      <w:tr>
        <w:trPr>
          <w:trHeight w:val="222"/>
        </w:trPr>
        <w:tc>
          <w:tcPr>
            <w:tcW w:w="3360" w:type="dxa"/>
            <w:vAlign w:val="bottom"/>
          </w:tcPr>
          <w:p>
            <w:pPr>
              <w:jc w:val="center"/>
              <w:ind w:right="801"/>
              <w:spacing w:after="0"/>
              <w:rPr>
                <w:sz w:val="20"/>
                <w:szCs w:val="20"/>
                <w:color w:val="auto"/>
              </w:rPr>
            </w:pPr>
            <w:r>
              <w:rPr>
                <w:rFonts w:ascii="Arial" w:cs="Arial" w:eastAsia="Arial" w:hAnsi="Arial"/>
                <w:sz w:val="14"/>
                <w:szCs w:val="14"/>
                <w:color w:val="auto"/>
              </w:rPr>
              <w:t>(Address of Principal Executive Offices)</w:t>
            </w:r>
          </w:p>
        </w:tc>
        <w:tc>
          <w:tcPr>
            <w:tcW w:w="3580" w:type="dxa"/>
            <w:vAlign w:val="bottom"/>
          </w:tcPr>
          <w:p>
            <w:pPr>
              <w:spacing w:after="0"/>
              <w:rPr>
                <w:sz w:val="19"/>
                <w:szCs w:val="19"/>
                <w:color w:val="auto"/>
              </w:rPr>
            </w:pPr>
          </w:p>
        </w:tc>
        <w:tc>
          <w:tcPr>
            <w:tcW w:w="2140" w:type="dxa"/>
            <w:vAlign w:val="bottom"/>
          </w:tcPr>
          <w:p>
            <w:pPr>
              <w:jc w:val="center"/>
              <w:ind w:left="883"/>
              <w:spacing w:after="0"/>
              <w:rPr>
                <w:sz w:val="20"/>
                <w:szCs w:val="20"/>
                <w:color w:val="auto"/>
              </w:rPr>
            </w:pPr>
            <w:r>
              <w:rPr>
                <w:rFonts w:ascii="Arial" w:cs="Arial" w:eastAsia="Arial" w:hAnsi="Arial"/>
                <w:sz w:val="14"/>
                <w:szCs w:val="14"/>
                <w:color w:val="auto"/>
                <w:highlight w:val="black"/>
                <w:w w:val="99"/>
              </w:rPr>
              <w:t>(Zip Code)</w:t>
            </w:r>
          </w:p>
        </w:tc>
      </w:tr>
    </w:tbl>
    <w:p>
      <w:pPr>
        <w:spacing w:after="0" w:line="211" w:lineRule="exact"/>
        <w:rPr>
          <w:sz w:val="24"/>
          <w:szCs w:val="24"/>
          <w:color w:val="auto"/>
        </w:rPr>
      </w:pPr>
    </w:p>
    <w:p>
      <w:pPr>
        <w:jc w:val="center"/>
        <w:ind w:right="-189"/>
        <w:spacing w:after="0"/>
        <w:rPr>
          <w:sz w:val="20"/>
          <w:szCs w:val="20"/>
          <w:color w:val="auto"/>
        </w:rPr>
      </w:pPr>
      <w:r>
        <w:rPr>
          <w:rFonts w:ascii="Arial" w:cs="Arial" w:eastAsia="Arial" w:hAnsi="Arial"/>
          <w:sz w:val="16"/>
          <w:szCs w:val="16"/>
          <w:color w:val="auto"/>
        </w:rPr>
        <w:t>Registrant’s Telephone Number, Including Area Code: (703) 442-8844</w:t>
      </w:r>
    </w:p>
    <w:p>
      <w:pPr>
        <w:spacing w:after="0" w:line="200" w:lineRule="exact"/>
        <w:rPr>
          <w:sz w:val="24"/>
          <w:szCs w:val="24"/>
          <w:color w:val="auto"/>
        </w:rPr>
      </w:pPr>
    </w:p>
    <w:p>
      <w:pPr>
        <w:spacing w:after="0" w:line="372" w:lineRule="exact"/>
        <w:rPr>
          <w:sz w:val="24"/>
          <w:szCs w:val="24"/>
          <w:color w:val="auto"/>
        </w:rPr>
      </w:pPr>
    </w:p>
    <w:p>
      <w:pPr>
        <w:jc w:val="center"/>
        <w:ind w:right="-189"/>
        <w:spacing w:after="0"/>
        <w:rPr>
          <w:sz w:val="20"/>
          <w:szCs w:val="20"/>
          <w:color w:val="auto"/>
        </w:rPr>
      </w:pPr>
      <w:r>
        <w:rPr>
          <w:rFonts w:ascii="Arial" w:cs="Arial" w:eastAsia="Arial" w:hAnsi="Arial"/>
          <w:sz w:val="16"/>
          <w:szCs w:val="16"/>
          <w:color w:val="auto"/>
          <w:highlight w:val="black"/>
        </w:rPr>
        <w:t>Not Applicable</w:t>
      </w:r>
    </w:p>
    <w:p>
      <w:pPr>
        <w:jc w:val="center"/>
        <w:ind w:right="-189"/>
        <w:spacing w:after="0" w:line="235" w:lineRule="auto"/>
        <w:rPr>
          <w:sz w:val="20"/>
          <w:szCs w:val="20"/>
          <w:color w:val="auto"/>
        </w:rPr>
      </w:pPr>
      <w:r>
        <w:rPr>
          <w:rFonts w:ascii="Arial" w:cs="Arial" w:eastAsia="Arial" w:hAnsi="Arial"/>
          <w:sz w:val="14"/>
          <w:szCs w:val="14"/>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2188845</wp:posOffset>
            </wp:positionH>
            <wp:positionV relativeFrom="paragraph">
              <wp:posOffset>281305</wp:posOffset>
            </wp:positionV>
            <wp:extent cx="2777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10"/>
        <w:spacing w:after="0" w:line="225"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Instructions A.2. below):</w:t>
      </w:r>
    </w:p>
    <w:p>
      <w:pPr>
        <w:spacing w:after="0" w:line="148" w:lineRule="exact"/>
        <w:rPr>
          <w:sz w:val="24"/>
          <w:szCs w:val="24"/>
          <w:color w:val="auto"/>
        </w:rPr>
      </w:pPr>
    </w:p>
    <w:p>
      <w:pPr>
        <w:ind w:left="310" w:hanging="310"/>
        <w:spacing w:after="0"/>
        <w:tabs>
          <w:tab w:leader="none" w:pos="31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80" w:lineRule="exact"/>
        <w:rPr>
          <w:rFonts w:ascii="MS PGothic" w:cs="MS PGothic" w:eastAsia="MS PGothic" w:hAnsi="MS PGothic"/>
          <w:sz w:val="16"/>
          <w:szCs w:val="16"/>
          <w:color w:val="auto"/>
        </w:rPr>
      </w:pPr>
    </w:p>
    <w:p>
      <w:pPr>
        <w:ind w:left="310" w:hanging="310"/>
        <w:spacing w:after="0"/>
        <w:tabs>
          <w:tab w:leader="none" w:pos="31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26" w:lineRule="exact"/>
        <w:rPr>
          <w:rFonts w:ascii="MS PGothic" w:cs="MS PGothic" w:eastAsia="MS PGothic" w:hAnsi="MS PGothic"/>
          <w:sz w:val="16"/>
          <w:szCs w:val="16"/>
          <w:color w:val="auto"/>
        </w:rPr>
      </w:pPr>
    </w:p>
    <w:p>
      <w:pPr>
        <w:ind w:left="310" w:hanging="310"/>
        <w:spacing w:after="0"/>
        <w:tabs>
          <w:tab w:leader="none" w:pos="31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33" w:lineRule="exact"/>
        <w:rPr>
          <w:rFonts w:ascii="MS PGothic" w:cs="MS PGothic" w:eastAsia="MS PGothic" w:hAnsi="MS PGothic"/>
          <w:sz w:val="16"/>
          <w:szCs w:val="16"/>
          <w:color w:val="auto"/>
        </w:rPr>
      </w:pPr>
    </w:p>
    <w:p>
      <w:pPr>
        <w:ind w:left="10" w:right="2820" w:hanging="10"/>
        <w:spacing w:after="0" w:line="467" w:lineRule="auto"/>
        <w:tabs>
          <w:tab w:leader="none" w:pos="32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Exchange Act:</w:t>
      </w:r>
    </w:p>
    <w:p>
      <w:pPr>
        <w:spacing w:after="0" w:line="23" w:lineRule="exact"/>
        <w:rPr>
          <w:sz w:val="24"/>
          <w:szCs w:val="24"/>
          <w:color w:val="auto"/>
        </w:rPr>
      </w:pPr>
    </w:p>
    <w:tbl>
      <w:tblPr>
        <w:tblLayout w:type="fixed"/>
        <w:tblInd w:w="1130" w:type="dxa"/>
        <w:tblCellMar>
          <w:top w:w="0" w:type="dxa"/>
          <w:left w:w="0" w:type="dxa"/>
          <w:bottom w:w="0" w:type="dxa"/>
          <w:right w:w="0" w:type="dxa"/>
        </w:tblCellMar>
      </w:tblPr>
      <w:tr>
        <w:trPr>
          <w:trHeight w:val="215"/>
        </w:trPr>
        <w:tc>
          <w:tcPr>
            <w:tcW w:w="20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Title of each class</w:t>
            </w:r>
          </w:p>
        </w:tc>
        <w:tc>
          <w:tcPr>
            <w:tcW w:w="184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Trading symbol</w:t>
            </w:r>
          </w:p>
        </w:tc>
        <w:tc>
          <w:tcPr>
            <w:tcW w:w="1240" w:type="dxa"/>
            <w:vAlign w:val="bottom"/>
          </w:tcPr>
          <w:p>
            <w:pPr>
              <w:spacing w:after="0"/>
              <w:rPr>
                <w:sz w:val="18"/>
                <w:szCs w:val="18"/>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Name of each exchange on which registered</w:t>
            </w:r>
          </w:p>
        </w:tc>
        <w:tc>
          <w:tcPr>
            <w:tcW w:w="20" w:type="dxa"/>
            <w:vAlign w:val="bottom"/>
          </w:tcPr>
          <w:p>
            <w:pPr>
              <w:spacing w:after="0"/>
              <w:rPr>
                <w:sz w:val="18"/>
                <w:szCs w:val="18"/>
                <w:color w:val="auto"/>
              </w:rPr>
            </w:pPr>
          </w:p>
        </w:tc>
      </w:tr>
      <w:tr>
        <w:trPr>
          <w:trHeight w:val="274"/>
        </w:trPr>
        <w:tc>
          <w:tcPr>
            <w:tcW w:w="3440" w:type="dxa"/>
            <w:vAlign w:val="bottom"/>
            <w:gridSpan w:val="3"/>
          </w:tcPr>
          <w:p>
            <w:pPr>
              <w:jc w:val="center"/>
              <w:ind w:right="1640"/>
              <w:spacing w:after="0"/>
              <w:rPr>
                <w:sz w:val="20"/>
                <w:szCs w:val="20"/>
                <w:color w:val="auto"/>
              </w:rPr>
            </w:pPr>
            <w:r>
              <w:rPr>
                <w:rFonts w:ascii="Arial" w:cs="Arial" w:eastAsia="Arial" w:hAnsi="Arial"/>
                <w:sz w:val="17"/>
                <w:szCs w:val="17"/>
                <w:color w:val="auto"/>
              </w:rPr>
              <w:t>Class A Common Stock</w:t>
            </w:r>
          </w:p>
        </w:tc>
        <w:tc>
          <w:tcPr>
            <w:tcW w:w="2440" w:type="dxa"/>
            <w:vAlign w:val="bottom"/>
            <w:gridSpan w:val="2"/>
          </w:tcPr>
          <w:p>
            <w:pPr>
              <w:jc w:val="center"/>
              <w:ind w:right="1240"/>
              <w:spacing w:after="0"/>
              <w:rPr>
                <w:sz w:val="20"/>
                <w:szCs w:val="20"/>
                <w:color w:val="auto"/>
              </w:rPr>
            </w:pPr>
            <w:r>
              <w:rPr>
                <w:rFonts w:ascii="Arial" w:cs="Arial" w:eastAsia="Arial" w:hAnsi="Arial"/>
                <w:sz w:val="17"/>
                <w:szCs w:val="17"/>
                <w:color w:val="auto"/>
                <w:w w:val="94"/>
              </w:rPr>
              <w:t>APPN</w:t>
            </w:r>
          </w:p>
        </w:tc>
        <w:tc>
          <w:tcPr>
            <w:tcW w:w="3540" w:type="dxa"/>
            <w:vAlign w:val="bottom"/>
            <w:gridSpan w:val="2"/>
          </w:tcPr>
          <w:p>
            <w:pPr>
              <w:jc w:val="center"/>
              <w:ind w:right="20"/>
              <w:spacing w:after="0"/>
              <w:rPr>
                <w:sz w:val="20"/>
                <w:szCs w:val="20"/>
                <w:color w:val="auto"/>
              </w:rPr>
            </w:pPr>
            <w:r>
              <w:rPr>
                <w:rFonts w:ascii="Arial" w:cs="Arial" w:eastAsia="Arial" w:hAnsi="Arial"/>
                <w:sz w:val="17"/>
                <w:szCs w:val="17"/>
                <w:color w:val="auto"/>
              </w:rPr>
              <w:t>The Nasdaq Stock Market LLC</w:t>
            </w:r>
          </w:p>
        </w:tc>
      </w:tr>
    </w:tbl>
    <w:p>
      <w:pPr>
        <w:spacing w:after="0" w:line="176" w:lineRule="exact"/>
        <w:rPr>
          <w:sz w:val="24"/>
          <w:szCs w:val="24"/>
          <w:color w:val="auto"/>
        </w:rPr>
      </w:pPr>
    </w:p>
    <w:p>
      <w:pPr>
        <w:ind w:left="10" w:right="340"/>
        <w:spacing w:after="0" w:line="22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1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68" w:lineRule="exact"/>
        <w:rPr>
          <w:sz w:val="24"/>
          <w:szCs w:val="24"/>
          <w:color w:val="auto"/>
        </w:rPr>
      </w:pPr>
    </w:p>
    <w:p>
      <w:pPr>
        <w:ind w:left="10"/>
        <w:spacing w:after="0" w:line="226"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840105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105410</wp:posOffset>
            </wp:positionH>
            <wp:positionV relativeFrom="paragraph">
              <wp:posOffset>218440</wp:posOffset>
            </wp:positionV>
            <wp:extent cx="69437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43725" cy="17145"/>
                    </a:xfrm>
                    <a:prstGeom prst="rect">
                      <a:avLst/>
                    </a:prstGeom>
                    <a:noFill/>
                  </pic:spPr>
                </pic:pic>
              </a:graphicData>
            </a:graphic>
          </wp:anchor>
        </w:drawing>
        <w:drawing>
          <wp:anchor simplePos="0" relativeHeight="251657728" behindDoc="1" locked="0" layoutInCell="0" allowOverlap="1">
            <wp:simplePos x="0" y="0"/>
            <wp:positionH relativeFrom="column">
              <wp:posOffset>105410</wp:posOffset>
            </wp:positionH>
            <wp:positionV relativeFrom="paragraph">
              <wp:posOffset>193040</wp:posOffset>
            </wp:positionV>
            <wp:extent cx="69437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ectPr>
          <w:pgSz w:w="11900" w:h="16838" w:orient="portrait"/>
          <w:cols w:equalWidth="0" w:num="1">
            <w:col w:w="11070"/>
          </w:cols>
          <w:pgMar w:left="310" w:top="1221" w:right="519" w:bottom="1440" w:gutter="0" w:footer="0" w:header="0"/>
        </w:sectPr>
      </w:pPr>
    </w:p>
    <w:bookmarkStart w:id="1" w:name="page2"/>
    <w:bookmarkEnd w:id="1"/>
    <w:p>
      <w:pPr>
        <w:spacing w:after="0"/>
        <w:rPr>
          <w:sz w:val="20"/>
          <w:szCs w:val="20"/>
          <w:color w:val="auto"/>
        </w:rPr>
      </w:pPr>
      <w:r>
        <w:rPr>
          <w:rFonts w:ascii="Arial" w:cs="Arial" w:eastAsia="Arial" w:hAnsi="Arial"/>
          <w:sz w:val="17"/>
          <w:szCs w:val="17"/>
          <w:color w:val="auto"/>
        </w:rPr>
        <w:t>Item 5.07 Submission of Matters to a Vote of Security Holders.</w:t>
      </w:r>
    </w:p>
    <w:p>
      <w:pPr>
        <w:spacing w:after="0" w:line="28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On June 3, 2026, the Company held a virtual annual meeting of stockholders (the “Annual Meeting”). There were 65,563,774 shares of Class A and Class B common stock of the 74,363,075 shares of Class A and Class B common stock outstanding on April 8, 2026 (the “Record Date”) present at the Annual Meeting in person or by proxy, which represented approximately 92.79% of the combined voting power of the shares of Class A common stock and Class B common stock entitled to vote at the Annual Meeting (voting together as a single class), and which constituted a quorum for the transaction of business. Holders of the Company’s Class A common stock were entitled to one vote for each share held as of the close of business on the Record Date, and holders of the Company’s Class B common stock were entitled to ten votes for each share held as of the Record Date.</w:t>
      </w:r>
    </w:p>
    <w:p>
      <w:pPr>
        <w:spacing w:after="0" w:line="200" w:lineRule="exact"/>
        <w:rPr>
          <w:sz w:val="20"/>
          <w:szCs w:val="20"/>
          <w:color w:val="auto"/>
        </w:rPr>
      </w:pPr>
    </w:p>
    <w:p>
      <w:pPr>
        <w:spacing w:after="0" w:line="28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At the Annual Meeting, the Company’s stockholders voted on the following five proposals: (i) election of eight nominees to serve as directors until the 2027 annual meeting of stockholders and until their respective successors are elected and qualified (“Proposal 1”); (ii) ratification of the selection by the Audit Committee of the Company’s Board of Directors of BDO USA, P.C. as the independent registered public accounting firm of the Company for its fiscal year ending December 31, 2026 (“Proposal 2”); (iii) approval, on an advisory basis, of the compensation of the Company's named executive officers as described in the Company’s definitive proxy statement on Schedule 14A filed with the U.S. Securities and Exchange Commission on April 22, 2026 (“Proposal 3”); (iv) indication of the preferred frequency of future stockholder advisory votes on named executive office compensation ("Proposal 4"); and (v) approval of the amended and restated 2017 Equity Incentive Plan ("Proposal 5"). The final results of the voting on each proposal are set forth below.</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Proposal 1 – Election of Directors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The Company’s stockholders elected all nominees for director. The votes were cast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gridSpan w:val="2"/>
          </w:tcPr>
          <w:p>
            <w:pPr>
              <w:ind w:left="20"/>
              <w:spacing w:after="0"/>
              <w:rPr>
                <w:sz w:val="20"/>
                <w:szCs w:val="20"/>
                <w:color w:val="auto"/>
              </w:rPr>
            </w:pPr>
            <w:r>
              <w:rPr>
                <w:rFonts w:ascii="Arial" w:cs="Arial" w:eastAsia="Arial" w:hAnsi="Arial"/>
                <w:sz w:val="16"/>
                <w:szCs w:val="16"/>
                <w:color w:val="auto"/>
                <w:highlight w:val="black"/>
              </w:rPr>
              <w:t>Name</w:t>
            </w:r>
          </w:p>
        </w:tc>
        <w:tc>
          <w:tcPr>
            <w:tcW w:w="1760" w:type="dxa"/>
            <w:vAlign w:val="bottom"/>
            <w:gridSpan w:val="2"/>
          </w:tcPr>
          <w:p>
            <w:pPr>
              <w:jc w:val="center"/>
              <w:ind w:right="100"/>
              <w:spacing w:after="0"/>
              <w:rPr>
                <w:sz w:val="20"/>
                <w:szCs w:val="20"/>
                <w:color w:val="auto"/>
              </w:rPr>
            </w:pPr>
            <w:r>
              <w:rPr>
                <w:rFonts w:ascii="Arial" w:cs="Arial" w:eastAsia="Arial" w:hAnsi="Arial"/>
                <w:sz w:val="16"/>
                <w:szCs w:val="16"/>
                <w:color w:val="auto"/>
                <w:highlight w:val="black"/>
                <w:w w:val="95"/>
              </w:rPr>
              <w:t>Votes For</w:t>
            </w:r>
          </w:p>
        </w:tc>
        <w:tc>
          <w:tcPr>
            <w:tcW w:w="1760" w:type="dxa"/>
            <w:vAlign w:val="bottom"/>
            <w:gridSpan w:val="2"/>
          </w:tcPr>
          <w:p>
            <w:pPr>
              <w:ind w:left="300"/>
              <w:spacing w:after="0"/>
              <w:rPr>
                <w:sz w:val="20"/>
                <w:szCs w:val="20"/>
                <w:color w:val="auto"/>
              </w:rPr>
            </w:pPr>
            <w:r>
              <w:rPr>
                <w:rFonts w:ascii="Arial" w:cs="Arial" w:eastAsia="Arial" w:hAnsi="Arial"/>
                <w:sz w:val="16"/>
                <w:szCs w:val="16"/>
                <w:color w:val="auto"/>
                <w:highlight w:val="black"/>
              </w:rPr>
              <w:t>Votes Withheld</w:t>
            </w:r>
          </w:p>
        </w:tc>
        <w:tc>
          <w:tcPr>
            <w:tcW w:w="2040" w:type="dxa"/>
            <w:vAlign w:val="bottom"/>
          </w:tcPr>
          <w:p>
            <w:pPr>
              <w:jc w:val="center"/>
              <w:spacing w:after="0"/>
              <w:rPr>
                <w:sz w:val="20"/>
                <w:szCs w:val="20"/>
                <w:color w:val="auto"/>
              </w:rPr>
            </w:pPr>
            <w:r>
              <w:rPr>
                <w:rFonts w:ascii="Arial" w:cs="Arial" w:eastAsia="Arial" w:hAnsi="Arial"/>
                <w:sz w:val="16"/>
                <w:szCs w:val="16"/>
                <w:color w:val="auto"/>
                <w:highlight w:val="black"/>
                <w:w w:val="97"/>
              </w:rPr>
              <w:t>Broker Non-Votes</w:t>
            </w:r>
          </w:p>
        </w:tc>
      </w:tr>
      <w:tr>
        <w:trPr>
          <w:trHeight w:val="21"/>
        </w:trPr>
        <w:tc>
          <w:tcPr>
            <w:tcW w:w="5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17"/>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Matthew Calkins</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316,583,373</w:t>
            </w:r>
          </w:p>
        </w:tc>
        <w:tc>
          <w:tcPr>
            <w:tcW w:w="1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5,707,344</w:t>
            </w:r>
          </w:p>
        </w:tc>
        <w:tc>
          <w:tcPr>
            <w:tcW w:w="10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6,336,379</w:t>
            </w:r>
          </w:p>
        </w:tc>
      </w:tr>
      <w:tr>
        <w:trPr>
          <w:trHeight w:val="222"/>
        </w:trPr>
        <w:tc>
          <w:tcPr>
            <w:tcW w:w="5660" w:type="dxa"/>
            <w:vAlign w:val="bottom"/>
            <w:gridSpan w:val="2"/>
          </w:tcPr>
          <w:p>
            <w:pPr>
              <w:ind w:left="20"/>
              <w:spacing w:after="0"/>
              <w:rPr>
                <w:sz w:val="20"/>
                <w:szCs w:val="20"/>
                <w:color w:val="auto"/>
              </w:rPr>
            </w:pPr>
            <w:r>
              <w:rPr>
                <w:rFonts w:ascii="Arial" w:cs="Arial" w:eastAsia="Arial" w:hAnsi="Arial"/>
                <w:sz w:val="16"/>
                <w:szCs w:val="16"/>
                <w:color w:val="auto"/>
              </w:rPr>
              <w:t>Michael Beckley</w:t>
            </w:r>
          </w:p>
        </w:tc>
        <w:tc>
          <w:tcPr>
            <w:tcW w:w="1660" w:type="dxa"/>
            <w:vAlign w:val="bottom"/>
          </w:tcPr>
          <w:p>
            <w:pPr>
              <w:jc w:val="center"/>
              <w:spacing w:after="0"/>
              <w:rPr>
                <w:sz w:val="20"/>
                <w:szCs w:val="20"/>
                <w:color w:val="auto"/>
              </w:rPr>
            </w:pPr>
            <w:r>
              <w:rPr>
                <w:rFonts w:ascii="Arial" w:cs="Arial" w:eastAsia="Arial" w:hAnsi="Arial"/>
                <w:sz w:val="16"/>
                <w:szCs w:val="16"/>
                <w:color w:val="auto"/>
              </w:rPr>
              <w:t>316,664,296</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8"/>
              </w:rPr>
              <w:t>5,626,421</w:t>
            </w:r>
          </w:p>
        </w:tc>
        <w:tc>
          <w:tcPr>
            <w:tcW w:w="10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auto"/>
              </w:rPr>
              <w:t>6,336,379</w:t>
            </w:r>
          </w:p>
        </w:tc>
      </w:tr>
      <w:tr>
        <w:trPr>
          <w:trHeight w:val="21"/>
        </w:trPr>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23"/>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Robert C. Kramer</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316,694,476</w:t>
            </w:r>
          </w:p>
        </w:tc>
        <w:tc>
          <w:tcPr>
            <w:tcW w:w="1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5,596,241</w:t>
            </w:r>
          </w:p>
        </w:tc>
        <w:tc>
          <w:tcPr>
            <w:tcW w:w="10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6,336,379</w:t>
            </w:r>
          </w:p>
        </w:tc>
      </w:tr>
      <w:tr>
        <w:trPr>
          <w:trHeight w:val="222"/>
        </w:trPr>
        <w:tc>
          <w:tcPr>
            <w:tcW w:w="5660" w:type="dxa"/>
            <w:vAlign w:val="bottom"/>
            <w:gridSpan w:val="2"/>
          </w:tcPr>
          <w:p>
            <w:pPr>
              <w:ind w:left="20"/>
              <w:spacing w:after="0"/>
              <w:rPr>
                <w:sz w:val="20"/>
                <w:szCs w:val="20"/>
                <w:color w:val="auto"/>
              </w:rPr>
            </w:pPr>
            <w:r>
              <w:rPr>
                <w:rFonts w:ascii="Arial" w:cs="Arial" w:eastAsia="Arial" w:hAnsi="Arial"/>
                <w:sz w:val="16"/>
                <w:szCs w:val="16"/>
                <w:color w:val="auto"/>
              </w:rPr>
              <w:t>Shirley A. Edwards</w:t>
            </w:r>
          </w:p>
        </w:tc>
        <w:tc>
          <w:tcPr>
            <w:tcW w:w="1660" w:type="dxa"/>
            <w:vAlign w:val="bottom"/>
          </w:tcPr>
          <w:p>
            <w:pPr>
              <w:jc w:val="center"/>
              <w:spacing w:after="0"/>
              <w:rPr>
                <w:sz w:val="20"/>
                <w:szCs w:val="20"/>
                <w:color w:val="auto"/>
              </w:rPr>
            </w:pPr>
            <w:r>
              <w:rPr>
                <w:rFonts w:ascii="Arial" w:cs="Arial" w:eastAsia="Arial" w:hAnsi="Arial"/>
                <w:sz w:val="16"/>
                <w:szCs w:val="16"/>
                <w:color w:val="auto"/>
              </w:rPr>
              <w:t>315,706,899</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8"/>
              </w:rPr>
              <w:t>6,583,818</w:t>
            </w:r>
          </w:p>
        </w:tc>
        <w:tc>
          <w:tcPr>
            <w:tcW w:w="10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auto"/>
              </w:rPr>
              <w:t>6,336,379</w:t>
            </w:r>
          </w:p>
        </w:tc>
      </w:tr>
      <w:tr>
        <w:trPr>
          <w:trHeight w:val="21"/>
        </w:trPr>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23"/>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Carl "Boe" Hartman II</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321,883,825</w:t>
            </w:r>
          </w:p>
        </w:tc>
        <w:tc>
          <w:tcPr>
            <w:tcW w:w="1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406,892</w:t>
            </w:r>
          </w:p>
        </w:tc>
        <w:tc>
          <w:tcPr>
            <w:tcW w:w="10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6,336,379</w:t>
            </w:r>
          </w:p>
        </w:tc>
      </w:tr>
      <w:tr>
        <w:trPr>
          <w:trHeight w:val="222"/>
        </w:trPr>
        <w:tc>
          <w:tcPr>
            <w:tcW w:w="5660" w:type="dxa"/>
            <w:vAlign w:val="bottom"/>
            <w:gridSpan w:val="2"/>
          </w:tcPr>
          <w:p>
            <w:pPr>
              <w:ind w:left="20"/>
              <w:spacing w:after="0"/>
              <w:rPr>
                <w:sz w:val="20"/>
                <w:szCs w:val="20"/>
                <w:color w:val="auto"/>
              </w:rPr>
            </w:pPr>
            <w:r>
              <w:rPr>
                <w:rFonts w:ascii="Arial" w:cs="Arial" w:eastAsia="Arial" w:hAnsi="Arial"/>
                <w:sz w:val="16"/>
                <w:szCs w:val="16"/>
                <w:color w:val="auto"/>
              </w:rPr>
              <w:t>Barbara "Bobbie" Kilberg</w:t>
            </w:r>
          </w:p>
        </w:tc>
        <w:tc>
          <w:tcPr>
            <w:tcW w:w="1660" w:type="dxa"/>
            <w:vAlign w:val="bottom"/>
          </w:tcPr>
          <w:p>
            <w:pPr>
              <w:jc w:val="center"/>
              <w:spacing w:after="0"/>
              <w:rPr>
                <w:sz w:val="20"/>
                <w:szCs w:val="20"/>
                <w:color w:val="auto"/>
              </w:rPr>
            </w:pPr>
            <w:r>
              <w:rPr>
                <w:rFonts w:ascii="Arial" w:cs="Arial" w:eastAsia="Arial" w:hAnsi="Arial"/>
                <w:sz w:val="16"/>
                <w:szCs w:val="16"/>
                <w:color w:val="auto"/>
              </w:rPr>
              <w:t>310,152,726</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7"/>
              </w:rPr>
              <w:t>12,137,991</w:t>
            </w:r>
          </w:p>
        </w:tc>
        <w:tc>
          <w:tcPr>
            <w:tcW w:w="10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auto"/>
              </w:rPr>
              <w:t>6,336,379</w:t>
            </w:r>
          </w:p>
        </w:tc>
      </w:tr>
      <w:tr>
        <w:trPr>
          <w:trHeight w:val="21"/>
        </w:trPr>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23"/>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David Link</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322,080,474</w:t>
            </w:r>
          </w:p>
        </w:tc>
        <w:tc>
          <w:tcPr>
            <w:tcW w:w="1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210,243</w:t>
            </w:r>
          </w:p>
        </w:tc>
        <w:tc>
          <w:tcPr>
            <w:tcW w:w="10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6,336,379</w:t>
            </w:r>
          </w:p>
        </w:tc>
      </w:tr>
      <w:tr>
        <w:trPr>
          <w:trHeight w:val="222"/>
        </w:trPr>
        <w:tc>
          <w:tcPr>
            <w:tcW w:w="5660" w:type="dxa"/>
            <w:vAlign w:val="bottom"/>
            <w:gridSpan w:val="2"/>
          </w:tcPr>
          <w:p>
            <w:pPr>
              <w:ind w:left="20"/>
              <w:spacing w:after="0"/>
              <w:rPr>
                <w:sz w:val="20"/>
                <w:szCs w:val="20"/>
                <w:color w:val="auto"/>
              </w:rPr>
            </w:pPr>
            <w:r>
              <w:rPr>
                <w:rFonts w:ascii="Arial" w:cs="Arial" w:eastAsia="Arial" w:hAnsi="Arial"/>
                <w:sz w:val="16"/>
                <w:szCs w:val="16"/>
                <w:color w:val="auto"/>
              </w:rPr>
              <w:t>Mark Lynch</w:t>
            </w:r>
          </w:p>
        </w:tc>
        <w:tc>
          <w:tcPr>
            <w:tcW w:w="1660" w:type="dxa"/>
            <w:vAlign w:val="bottom"/>
          </w:tcPr>
          <w:p>
            <w:pPr>
              <w:jc w:val="center"/>
              <w:spacing w:after="0"/>
              <w:rPr>
                <w:sz w:val="20"/>
                <w:szCs w:val="20"/>
                <w:color w:val="auto"/>
              </w:rPr>
            </w:pPr>
            <w:r>
              <w:rPr>
                <w:rFonts w:ascii="Arial" w:cs="Arial" w:eastAsia="Arial" w:hAnsi="Arial"/>
                <w:sz w:val="16"/>
                <w:szCs w:val="16"/>
                <w:color w:val="auto"/>
                <w:w w:val="98"/>
              </w:rPr>
              <w:t>317,056,136</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8"/>
              </w:rPr>
              <w:t>5,234,581</w:t>
            </w:r>
          </w:p>
        </w:tc>
        <w:tc>
          <w:tcPr>
            <w:tcW w:w="10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auto"/>
              </w:rPr>
              <w:t>6,336,379</w:t>
            </w:r>
          </w:p>
        </w:tc>
      </w:tr>
    </w:tbl>
    <w:p>
      <w:pPr>
        <w:spacing w:after="0" w:line="375" w:lineRule="exact"/>
        <w:rPr>
          <w:sz w:val="20"/>
          <w:szCs w:val="20"/>
          <w:color w:val="auto"/>
        </w:rPr>
      </w:pPr>
    </w:p>
    <w:p>
      <w:pPr>
        <w:spacing w:after="0"/>
        <w:rPr>
          <w:sz w:val="20"/>
          <w:szCs w:val="20"/>
          <w:color w:val="auto"/>
        </w:rPr>
      </w:pPr>
      <w:r>
        <w:rPr>
          <w:rFonts w:ascii="Arial" w:cs="Arial" w:eastAsia="Arial" w:hAnsi="Arial"/>
          <w:sz w:val="17"/>
          <w:szCs w:val="17"/>
          <w:color w:val="auto"/>
        </w:rPr>
        <w:t>Proposal 2 – Ratification of the Appointment of Independent Registered Public Accounting Firm</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The Company’s stockholders approved Proposal 2. The votes were cast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60" w:type="dxa"/>
            <w:vAlign w:val="bottom"/>
            <w:gridSpan w:val="2"/>
          </w:tcPr>
          <w:p>
            <w:pPr>
              <w:jc w:val="center"/>
              <w:ind w:right="80"/>
              <w:spacing w:after="0"/>
              <w:rPr>
                <w:sz w:val="20"/>
                <w:szCs w:val="20"/>
                <w:color w:val="auto"/>
              </w:rPr>
            </w:pPr>
            <w:r>
              <w:rPr>
                <w:rFonts w:ascii="Arial" w:cs="Arial" w:eastAsia="Arial" w:hAnsi="Arial"/>
                <w:sz w:val="16"/>
                <w:szCs w:val="16"/>
                <w:color w:val="auto"/>
                <w:highlight w:val="black"/>
                <w:w w:val="97"/>
              </w:rPr>
              <w:t>Votes For</w:t>
            </w:r>
          </w:p>
        </w:tc>
        <w:tc>
          <w:tcPr>
            <w:tcW w:w="3760" w:type="dxa"/>
            <w:vAlign w:val="bottom"/>
            <w:gridSpan w:val="2"/>
          </w:tcPr>
          <w:p>
            <w:pPr>
              <w:jc w:val="center"/>
              <w:ind w:right="100"/>
              <w:spacing w:after="0"/>
              <w:rPr>
                <w:sz w:val="20"/>
                <w:szCs w:val="20"/>
                <w:color w:val="auto"/>
              </w:rPr>
            </w:pPr>
            <w:r>
              <w:rPr>
                <w:rFonts w:ascii="Arial" w:cs="Arial" w:eastAsia="Arial" w:hAnsi="Arial"/>
                <w:sz w:val="16"/>
                <w:szCs w:val="16"/>
                <w:color w:val="auto"/>
                <w:highlight w:val="black"/>
                <w:w w:val="99"/>
              </w:rPr>
              <w:t>Votes Against</w:t>
            </w:r>
          </w:p>
        </w:tc>
        <w:tc>
          <w:tcPr>
            <w:tcW w:w="3660" w:type="dxa"/>
            <w:vAlign w:val="bottom"/>
          </w:tcPr>
          <w:p>
            <w:pPr>
              <w:jc w:val="center"/>
              <w:spacing w:after="0"/>
              <w:rPr>
                <w:sz w:val="20"/>
                <w:szCs w:val="20"/>
                <w:color w:val="auto"/>
              </w:rPr>
            </w:pPr>
            <w:r>
              <w:rPr>
                <w:rFonts w:ascii="Arial" w:cs="Arial" w:eastAsia="Arial" w:hAnsi="Arial"/>
                <w:sz w:val="16"/>
                <w:szCs w:val="16"/>
                <w:color w:val="auto"/>
                <w:highlight w:val="black"/>
                <w:w w:val="98"/>
              </w:rPr>
              <w:t>Abstained</w:t>
            </w:r>
          </w:p>
        </w:tc>
      </w:tr>
      <w:tr>
        <w:trPr>
          <w:trHeight w:val="21"/>
        </w:trPr>
        <w:tc>
          <w:tcPr>
            <w:tcW w:w="3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r>
      <w:tr>
        <w:trPr>
          <w:trHeight w:val="216"/>
        </w:trPr>
        <w:tc>
          <w:tcPr>
            <w:tcW w:w="3660" w:type="dxa"/>
            <w:vAlign w:val="bottom"/>
            <w:shd w:val="clear" w:color="auto" w:fill="CCEEFF"/>
          </w:tcPr>
          <w:p>
            <w:pPr>
              <w:jc w:val="right"/>
              <w:ind w:right="1301"/>
              <w:spacing w:after="0"/>
              <w:rPr>
                <w:sz w:val="20"/>
                <w:szCs w:val="20"/>
                <w:color w:val="auto"/>
              </w:rPr>
            </w:pPr>
            <w:r>
              <w:rPr>
                <w:rFonts w:ascii="Arial" w:cs="Arial" w:eastAsia="Arial" w:hAnsi="Arial"/>
                <w:sz w:val="16"/>
                <w:szCs w:val="16"/>
                <w:color w:val="auto"/>
              </w:rPr>
              <w:t>328,493,007</w:t>
            </w:r>
          </w:p>
        </w:tc>
        <w:tc>
          <w:tcPr>
            <w:tcW w:w="100" w:type="dxa"/>
            <w:vAlign w:val="bottom"/>
            <w:shd w:val="clear" w:color="auto" w:fill="CCEEFF"/>
          </w:tcPr>
          <w:p>
            <w:pPr>
              <w:spacing w:after="0"/>
              <w:rPr>
                <w:sz w:val="18"/>
                <w:szCs w:val="18"/>
                <w:color w:val="auto"/>
              </w:rPr>
            </w:pPr>
          </w:p>
        </w:tc>
        <w:tc>
          <w:tcPr>
            <w:tcW w:w="3660" w:type="dxa"/>
            <w:vAlign w:val="bottom"/>
            <w:shd w:val="clear" w:color="auto" w:fill="CCEEFF"/>
          </w:tcPr>
          <w:p>
            <w:pPr>
              <w:jc w:val="right"/>
              <w:ind w:right="1501"/>
              <w:spacing w:after="0"/>
              <w:rPr>
                <w:sz w:val="20"/>
                <w:szCs w:val="20"/>
                <w:color w:val="auto"/>
              </w:rPr>
            </w:pPr>
            <w:r>
              <w:rPr>
                <w:rFonts w:ascii="Arial" w:cs="Arial" w:eastAsia="Arial" w:hAnsi="Arial"/>
                <w:sz w:val="16"/>
                <w:szCs w:val="16"/>
                <w:color w:val="auto"/>
              </w:rPr>
              <w:t>64,169</w:t>
            </w:r>
          </w:p>
        </w:tc>
        <w:tc>
          <w:tcPr>
            <w:tcW w:w="100" w:type="dxa"/>
            <w:vAlign w:val="bottom"/>
            <w:shd w:val="clear" w:color="auto" w:fill="CCEEFF"/>
          </w:tcPr>
          <w:p>
            <w:pPr>
              <w:spacing w:after="0"/>
              <w:rPr>
                <w:sz w:val="18"/>
                <w:szCs w:val="18"/>
                <w:color w:val="auto"/>
              </w:rPr>
            </w:pPr>
          </w:p>
        </w:tc>
        <w:tc>
          <w:tcPr>
            <w:tcW w:w="3660" w:type="dxa"/>
            <w:vAlign w:val="bottom"/>
            <w:shd w:val="clear" w:color="auto" w:fill="CCEEFF"/>
          </w:tcPr>
          <w:p>
            <w:pPr>
              <w:jc w:val="right"/>
              <w:ind w:right="1501"/>
              <w:spacing w:after="0"/>
              <w:rPr>
                <w:sz w:val="20"/>
                <w:szCs w:val="20"/>
                <w:color w:val="auto"/>
              </w:rPr>
            </w:pPr>
            <w:r>
              <w:rPr>
                <w:rFonts w:ascii="Arial" w:cs="Arial" w:eastAsia="Arial" w:hAnsi="Arial"/>
                <w:sz w:val="16"/>
                <w:szCs w:val="16"/>
                <w:color w:val="auto"/>
              </w:rPr>
              <w:t>69,920</w:t>
            </w:r>
          </w:p>
        </w:tc>
      </w:tr>
      <w:tr>
        <w:trPr>
          <w:trHeight w:val="21"/>
        </w:trPr>
        <w:tc>
          <w:tcPr>
            <w:tcW w:w="3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7"/>
          <w:szCs w:val="17"/>
          <w:color w:val="auto"/>
        </w:rPr>
        <w:t>Proposal 3 – Advisory Vote on Executive Compensation</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The Company’s stockholders approved, on a non-binding advisory basis, Proposal 3. The votes were cast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20" w:type="dxa"/>
            <w:vAlign w:val="bottom"/>
            <w:gridSpan w:val="2"/>
          </w:tcPr>
          <w:p>
            <w:pPr>
              <w:jc w:val="center"/>
              <w:ind w:right="80"/>
              <w:spacing w:after="0"/>
              <w:rPr>
                <w:sz w:val="20"/>
                <w:szCs w:val="20"/>
                <w:color w:val="auto"/>
              </w:rPr>
            </w:pPr>
            <w:r>
              <w:rPr>
                <w:rFonts w:ascii="Arial" w:cs="Arial" w:eastAsia="Arial" w:hAnsi="Arial"/>
                <w:sz w:val="16"/>
                <w:szCs w:val="16"/>
                <w:color w:val="auto"/>
                <w:highlight w:val="black"/>
                <w:w w:val="95"/>
              </w:rPr>
              <w:t>Votes For</w:t>
            </w:r>
          </w:p>
        </w:tc>
        <w:tc>
          <w:tcPr>
            <w:tcW w:w="2820" w:type="dxa"/>
            <w:vAlign w:val="bottom"/>
            <w:gridSpan w:val="2"/>
          </w:tcPr>
          <w:p>
            <w:pPr>
              <w:jc w:val="center"/>
              <w:ind w:right="100"/>
              <w:spacing w:after="0"/>
              <w:rPr>
                <w:sz w:val="20"/>
                <w:szCs w:val="20"/>
                <w:color w:val="auto"/>
              </w:rPr>
            </w:pPr>
            <w:r>
              <w:rPr>
                <w:rFonts w:ascii="Arial" w:cs="Arial" w:eastAsia="Arial" w:hAnsi="Arial"/>
                <w:sz w:val="16"/>
                <w:szCs w:val="16"/>
                <w:color w:val="auto"/>
                <w:highlight w:val="black"/>
                <w:w w:val="97"/>
              </w:rPr>
              <w:t>Votes Against</w:t>
            </w:r>
          </w:p>
        </w:tc>
        <w:tc>
          <w:tcPr>
            <w:tcW w:w="2820" w:type="dxa"/>
            <w:vAlign w:val="bottom"/>
            <w:gridSpan w:val="2"/>
          </w:tcPr>
          <w:p>
            <w:pPr>
              <w:jc w:val="center"/>
              <w:ind w:right="80"/>
              <w:spacing w:after="0"/>
              <w:rPr>
                <w:sz w:val="20"/>
                <w:szCs w:val="20"/>
                <w:color w:val="auto"/>
              </w:rPr>
            </w:pPr>
            <w:r>
              <w:rPr>
                <w:rFonts w:ascii="Arial" w:cs="Arial" w:eastAsia="Arial" w:hAnsi="Arial"/>
                <w:sz w:val="16"/>
                <w:szCs w:val="16"/>
                <w:color w:val="auto"/>
                <w:highlight w:val="black"/>
                <w:w w:val="98"/>
              </w:rPr>
              <w:t>Abstained</w:t>
            </w:r>
          </w:p>
        </w:tc>
        <w:tc>
          <w:tcPr>
            <w:tcW w:w="2780" w:type="dxa"/>
            <w:vAlign w:val="bottom"/>
            <w:gridSpan w:val="2"/>
          </w:tcPr>
          <w:p>
            <w:pPr>
              <w:jc w:val="center"/>
              <w:ind w:right="60"/>
              <w:spacing w:after="0"/>
              <w:rPr>
                <w:sz w:val="20"/>
                <w:szCs w:val="20"/>
                <w:color w:val="auto"/>
              </w:rPr>
            </w:pPr>
            <w:r>
              <w:rPr>
                <w:rFonts w:ascii="Arial" w:cs="Arial" w:eastAsia="Arial" w:hAnsi="Arial"/>
                <w:sz w:val="16"/>
                <w:szCs w:val="16"/>
                <w:color w:val="auto"/>
                <w:highlight w:val="black"/>
                <w:w w:val="97"/>
              </w:rPr>
              <w:t>Broker Non-Votes</w:t>
            </w:r>
          </w:p>
        </w:tc>
      </w:tr>
      <w:tr>
        <w:trPr>
          <w:trHeight w:val="21"/>
        </w:trPr>
        <w:tc>
          <w:tcPr>
            <w:tcW w:w="2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2720" w:type="dxa"/>
            <w:vAlign w:val="bottom"/>
            <w:tcBorders>
              <w:bottom w:val="single" w:sz="8" w:color="CCEEFF"/>
            </w:tcBorders>
            <w:shd w:val="clear" w:color="auto" w:fill="CCEEFF"/>
          </w:tcPr>
          <w:p>
            <w:pPr>
              <w:jc w:val="right"/>
              <w:ind w:right="841"/>
              <w:spacing w:after="0"/>
              <w:rPr>
                <w:sz w:val="20"/>
                <w:szCs w:val="20"/>
                <w:color w:val="auto"/>
              </w:rPr>
            </w:pPr>
            <w:r>
              <w:rPr>
                <w:rFonts w:ascii="Arial" w:cs="Arial" w:eastAsia="Arial" w:hAnsi="Arial"/>
                <w:sz w:val="16"/>
                <w:szCs w:val="16"/>
                <w:color w:val="auto"/>
              </w:rPr>
              <w:t>321,617,550</w:t>
            </w:r>
          </w:p>
        </w:tc>
        <w:tc>
          <w:tcPr>
            <w:tcW w:w="100" w:type="dxa"/>
            <w:vAlign w:val="bottom"/>
            <w:tcBorders>
              <w:bottom w:val="single" w:sz="8" w:color="CCEEFF"/>
            </w:tcBorders>
            <w:shd w:val="clear" w:color="auto" w:fill="CCEEFF"/>
          </w:tcPr>
          <w:p>
            <w:pPr>
              <w:spacing w:after="0"/>
              <w:rPr>
                <w:sz w:val="18"/>
                <w:szCs w:val="18"/>
                <w:color w:val="auto"/>
              </w:rPr>
            </w:pPr>
          </w:p>
        </w:tc>
        <w:tc>
          <w:tcPr>
            <w:tcW w:w="2720" w:type="dxa"/>
            <w:vAlign w:val="bottom"/>
            <w:tcBorders>
              <w:bottom w:val="single" w:sz="8" w:color="CCEEFF"/>
            </w:tcBorders>
            <w:shd w:val="clear" w:color="auto" w:fill="CCEEFF"/>
          </w:tcPr>
          <w:p>
            <w:pPr>
              <w:jc w:val="right"/>
              <w:ind w:right="1001"/>
              <w:spacing w:after="0"/>
              <w:rPr>
                <w:sz w:val="20"/>
                <w:szCs w:val="20"/>
                <w:color w:val="auto"/>
              </w:rPr>
            </w:pPr>
            <w:r>
              <w:rPr>
                <w:rFonts w:ascii="Arial" w:cs="Arial" w:eastAsia="Arial" w:hAnsi="Arial"/>
                <w:sz w:val="16"/>
                <w:szCs w:val="16"/>
                <w:color w:val="auto"/>
              </w:rPr>
              <w:t>630,831</w:t>
            </w:r>
          </w:p>
        </w:tc>
        <w:tc>
          <w:tcPr>
            <w:tcW w:w="100" w:type="dxa"/>
            <w:vAlign w:val="bottom"/>
            <w:tcBorders>
              <w:bottom w:val="single" w:sz="8" w:color="CCEEFF"/>
            </w:tcBorders>
            <w:shd w:val="clear" w:color="auto" w:fill="CCEEFF"/>
          </w:tcPr>
          <w:p>
            <w:pPr>
              <w:spacing w:after="0"/>
              <w:rPr>
                <w:sz w:val="18"/>
                <w:szCs w:val="18"/>
                <w:color w:val="auto"/>
              </w:rPr>
            </w:pPr>
          </w:p>
        </w:tc>
        <w:tc>
          <w:tcPr>
            <w:tcW w:w="2720" w:type="dxa"/>
            <w:vAlign w:val="bottom"/>
            <w:tcBorders>
              <w:bottom w:val="single" w:sz="8" w:color="CCEEFF"/>
            </w:tcBorders>
            <w:shd w:val="clear" w:color="auto" w:fill="CCEEFF"/>
          </w:tcPr>
          <w:p>
            <w:pPr>
              <w:jc w:val="right"/>
              <w:ind w:right="1041"/>
              <w:spacing w:after="0"/>
              <w:rPr>
                <w:sz w:val="20"/>
                <w:szCs w:val="20"/>
                <w:color w:val="auto"/>
              </w:rPr>
            </w:pPr>
            <w:r>
              <w:rPr>
                <w:rFonts w:ascii="Arial" w:cs="Arial" w:eastAsia="Arial" w:hAnsi="Arial"/>
                <w:sz w:val="16"/>
                <w:szCs w:val="16"/>
                <w:color w:val="auto"/>
              </w:rPr>
              <w:t>42,336</w:t>
            </w:r>
          </w:p>
        </w:tc>
        <w:tc>
          <w:tcPr>
            <w:tcW w:w="100" w:type="dxa"/>
            <w:vAlign w:val="bottom"/>
            <w:tcBorders>
              <w:bottom w:val="single" w:sz="8" w:color="CCEEFF"/>
            </w:tcBorders>
            <w:shd w:val="clear" w:color="auto" w:fill="CCEEFF"/>
          </w:tcPr>
          <w:p>
            <w:pPr>
              <w:spacing w:after="0"/>
              <w:rPr>
                <w:sz w:val="18"/>
                <w:szCs w:val="18"/>
                <w:color w:val="auto"/>
              </w:rPr>
            </w:pPr>
          </w:p>
        </w:tc>
        <w:tc>
          <w:tcPr>
            <w:tcW w:w="2720" w:type="dxa"/>
            <w:vAlign w:val="bottom"/>
            <w:tcBorders>
              <w:bottom w:val="single" w:sz="8" w:color="CCEEFF"/>
            </w:tcBorders>
            <w:shd w:val="clear" w:color="auto" w:fill="CCEEFF"/>
          </w:tcPr>
          <w:p>
            <w:pPr>
              <w:jc w:val="right"/>
              <w:ind w:right="921"/>
              <w:spacing w:after="0"/>
              <w:rPr>
                <w:sz w:val="20"/>
                <w:szCs w:val="20"/>
                <w:color w:val="auto"/>
              </w:rPr>
            </w:pPr>
            <w:r>
              <w:rPr>
                <w:rFonts w:ascii="Arial" w:cs="Arial" w:eastAsia="Arial" w:hAnsi="Arial"/>
                <w:sz w:val="16"/>
                <w:szCs w:val="16"/>
                <w:color w:val="auto"/>
              </w:rPr>
              <w:t>6,336,379</w:t>
            </w:r>
          </w:p>
        </w:tc>
        <w:tc>
          <w:tcPr>
            <w:tcW w:w="60" w:type="dxa"/>
            <w:vAlign w:val="bottom"/>
          </w:tcPr>
          <w:p>
            <w:pPr>
              <w:spacing w:after="0"/>
              <w:rPr>
                <w:sz w:val="18"/>
                <w:szCs w:val="18"/>
                <w:color w:val="auto"/>
              </w:rPr>
            </w:pPr>
          </w:p>
        </w:tc>
      </w:tr>
      <w:tr>
        <w:trPr>
          <w:trHeight w:val="1222"/>
        </w:trPr>
        <w:tc>
          <w:tcPr>
            <w:tcW w:w="2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6"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color w:val="auto"/>
        </w:rPr>
        <w:t>Proposal 4 - Advisory Vote on the Frequency of Future Advisory Votes on Named Executive Officer Compensation</w:t>
      </w:r>
    </w:p>
    <w:p>
      <w:pPr>
        <w:spacing w:after="0" w:line="284"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Company's stockholders indicated, on a non-binding advisory basis, the preferred frequency for the solicitation of future advisory stockholder approval of compensation paid to the Company's named executive officers be held every year. The votes were cast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20" w:type="dxa"/>
            <w:vAlign w:val="bottom"/>
            <w:gridSpan w:val="2"/>
          </w:tcPr>
          <w:p>
            <w:pPr>
              <w:jc w:val="center"/>
              <w:ind w:right="100"/>
              <w:spacing w:after="0"/>
              <w:rPr>
                <w:sz w:val="20"/>
                <w:szCs w:val="20"/>
                <w:color w:val="auto"/>
              </w:rPr>
            </w:pPr>
            <w:r>
              <w:rPr>
                <w:rFonts w:ascii="Arial" w:cs="Arial" w:eastAsia="Arial" w:hAnsi="Arial"/>
                <w:sz w:val="16"/>
                <w:szCs w:val="16"/>
                <w:color w:val="auto"/>
                <w:highlight w:val="black"/>
                <w:w w:val="98"/>
              </w:rPr>
              <w:t>1 year</w:t>
            </w:r>
          </w:p>
        </w:tc>
        <w:tc>
          <w:tcPr>
            <w:tcW w:w="2820" w:type="dxa"/>
            <w:vAlign w:val="bottom"/>
            <w:gridSpan w:val="2"/>
          </w:tcPr>
          <w:p>
            <w:pPr>
              <w:ind w:left="1100"/>
              <w:spacing w:after="0"/>
              <w:rPr>
                <w:sz w:val="20"/>
                <w:szCs w:val="20"/>
                <w:color w:val="auto"/>
              </w:rPr>
            </w:pPr>
            <w:r>
              <w:rPr>
                <w:rFonts w:ascii="Arial" w:cs="Arial" w:eastAsia="Arial" w:hAnsi="Arial"/>
                <w:sz w:val="16"/>
                <w:szCs w:val="16"/>
                <w:color w:val="auto"/>
                <w:highlight w:val="black"/>
              </w:rPr>
              <w:t>2 years</w:t>
            </w:r>
          </w:p>
        </w:tc>
        <w:tc>
          <w:tcPr>
            <w:tcW w:w="2820" w:type="dxa"/>
            <w:vAlign w:val="bottom"/>
            <w:gridSpan w:val="2"/>
          </w:tcPr>
          <w:p>
            <w:pPr>
              <w:ind w:left="1100"/>
              <w:spacing w:after="0"/>
              <w:rPr>
                <w:sz w:val="20"/>
                <w:szCs w:val="20"/>
                <w:color w:val="auto"/>
              </w:rPr>
            </w:pPr>
            <w:r>
              <w:rPr>
                <w:rFonts w:ascii="Arial" w:cs="Arial" w:eastAsia="Arial" w:hAnsi="Arial"/>
                <w:sz w:val="16"/>
                <w:szCs w:val="16"/>
                <w:color w:val="auto"/>
                <w:highlight w:val="black"/>
              </w:rPr>
              <w:t>3 years</w:t>
            </w:r>
          </w:p>
        </w:tc>
        <w:tc>
          <w:tcPr>
            <w:tcW w:w="2720" w:type="dxa"/>
            <w:vAlign w:val="bottom"/>
          </w:tcPr>
          <w:p>
            <w:pPr>
              <w:jc w:val="center"/>
              <w:spacing w:after="0"/>
              <w:rPr>
                <w:sz w:val="20"/>
                <w:szCs w:val="20"/>
                <w:color w:val="auto"/>
              </w:rPr>
            </w:pPr>
            <w:r>
              <w:rPr>
                <w:rFonts w:ascii="Arial" w:cs="Arial" w:eastAsia="Arial" w:hAnsi="Arial"/>
                <w:sz w:val="16"/>
                <w:szCs w:val="16"/>
                <w:color w:val="auto"/>
                <w:highlight w:val="black"/>
                <w:w w:val="98"/>
              </w:rPr>
              <w:t>Abstained</w:t>
            </w:r>
          </w:p>
        </w:tc>
      </w:tr>
      <w:tr>
        <w:trPr>
          <w:trHeight w:val="21"/>
        </w:trPr>
        <w:tc>
          <w:tcPr>
            <w:tcW w:w="2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r>
      <w:tr>
        <w:trPr>
          <w:trHeight w:val="216"/>
        </w:trPr>
        <w:tc>
          <w:tcPr>
            <w:tcW w:w="2720" w:type="dxa"/>
            <w:vAlign w:val="bottom"/>
            <w:shd w:val="clear" w:color="auto" w:fill="CCEEFF"/>
          </w:tcPr>
          <w:p>
            <w:pPr>
              <w:jc w:val="right"/>
              <w:ind w:right="821"/>
              <w:spacing w:after="0"/>
              <w:rPr>
                <w:sz w:val="20"/>
                <w:szCs w:val="20"/>
                <w:color w:val="auto"/>
              </w:rPr>
            </w:pPr>
            <w:r>
              <w:rPr>
                <w:rFonts w:ascii="Arial" w:cs="Arial" w:eastAsia="Arial" w:hAnsi="Arial"/>
                <w:sz w:val="16"/>
                <w:szCs w:val="16"/>
                <w:color w:val="auto"/>
              </w:rPr>
              <w:t>322,210,378</w:t>
            </w:r>
          </w:p>
        </w:tc>
        <w:tc>
          <w:tcPr>
            <w:tcW w:w="100" w:type="dxa"/>
            <w:vAlign w:val="bottom"/>
            <w:shd w:val="clear" w:color="auto" w:fill="CCEEFF"/>
          </w:tcPr>
          <w:p>
            <w:pPr>
              <w:spacing w:after="0"/>
              <w:rPr>
                <w:sz w:val="18"/>
                <w:szCs w:val="18"/>
                <w:color w:val="auto"/>
              </w:rPr>
            </w:pPr>
          </w:p>
        </w:tc>
        <w:tc>
          <w:tcPr>
            <w:tcW w:w="272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16,527</w:t>
            </w:r>
          </w:p>
        </w:tc>
        <w:tc>
          <w:tcPr>
            <w:tcW w:w="100" w:type="dxa"/>
            <w:vAlign w:val="bottom"/>
            <w:shd w:val="clear" w:color="auto" w:fill="CCEEFF"/>
          </w:tcPr>
          <w:p>
            <w:pPr>
              <w:spacing w:after="0"/>
              <w:rPr>
                <w:sz w:val="18"/>
                <w:szCs w:val="18"/>
                <w:color w:val="auto"/>
              </w:rPr>
            </w:pPr>
          </w:p>
        </w:tc>
        <w:tc>
          <w:tcPr>
            <w:tcW w:w="272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17,032</w:t>
            </w:r>
          </w:p>
        </w:tc>
        <w:tc>
          <w:tcPr>
            <w:tcW w:w="100" w:type="dxa"/>
            <w:vAlign w:val="bottom"/>
            <w:shd w:val="clear" w:color="auto" w:fill="CCEEFF"/>
          </w:tcPr>
          <w:p>
            <w:pPr>
              <w:spacing w:after="0"/>
              <w:rPr>
                <w:sz w:val="18"/>
                <w:szCs w:val="18"/>
                <w:color w:val="auto"/>
              </w:rPr>
            </w:pPr>
          </w:p>
        </w:tc>
        <w:tc>
          <w:tcPr>
            <w:tcW w:w="2720" w:type="dxa"/>
            <w:vAlign w:val="bottom"/>
            <w:shd w:val="clear" w:color="auto" w:fill="CCEEFF"/>
          </w:tcPr>
          <w:p>
            <w:pPr>
              <w:jc w:val="right"/>
              <w:ind w:right="1041"/>
              <w:spacing w:after="0"/>
              <w:rPr>
                <w:sz w:val="20"/>
                <w:szCs w:val="20"/>
                <w:color w:val="auto"/>
              </w:rPr>
            </w:pPr>
            <w:r>
              <w:rPr>
                <w:rFonts w:ascii="Arial" w:cs="Arial" w:eastAsia="Arial" w:hAnsi="Arial"/>
                <w:sz w:val="16"/>
                <w:szCs w:val="16"/>
                <w:color w:val="auto"/>
              </w:rPr>
              <w:t>46,780</w:t>
            </w:r>
          </w:p>
        </w:tc>
      </w:tr>
      <w:tr>
        <w:trPr>
          <w:trHeight w:val="21"/>
        </w:trPr>
        <w:tc>
          <w:tcPr>
            <w:tcW w:w="2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720" w:type="dxa"/>
            <w:vAlign w:val="bottom"/>
            <w:shd w:val="clear" w:color="auto" w:fill="CCEEFF"/>
          </w:tcPr>
          <w:p>
            <w:pPr>
              <w:spacing w:after="0" w:line="20" w:lineRule="exact"/>
              <w:rPr>
                <w:sz w:val="1"/>
                <w:szCs w:val="1"/>
                <w:color w:val="auto"/>
              </w:rPr>
            </w:pPr>
          </w:p>
        </w:tc>
      </w:tr>
    </w:tbl>
    <w:p>
      <w:pPr>
        <w:spacing w:after="0" w:line="37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Consistent with the stockholder voting results above and the recommendation of the Board of Directors of the Company as disclosed in the Company’s proxy statement for the Annual Meeting, the Company has determined to solicit a non-binding advisory vote on the compensation of the Company’s named executive officers every year until the next required stockholder vote on the frequency of such non-binding advisory vote or until the Board of Directors of the Company determines that a different frequency of such non-binding advisory vote is in the best interest of the Company’s stockholders.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Proposal 5 - Approval of the Amended and Restated 2017 Equity Incentive Plan</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The Company's stockholders approved Proposal 5. The votes were cast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20" w:type="dxa"/>
            <w:vAlign w:val="bottom"/>
            <w:gridSpan w:val="2"/>
          </w:tcPr>
          <w:p>
            <w:pPr>
              <w:jc w:val="center"/>
              <w:ind w:left="336"/>
              <w:spacing w:after="0"/>
              <w:rPr>
                <w:sz w:val="20"/>
                <w:szCs w:val="20"/>
                <w:color w:val="auto"/>
              </w:rPr>
            </w:pPr>
            <w:r>
              <w:rPr>
                <w:rFonts w:ascii="Arial" w:cs="Arial" w:eastAsia="Arial" w:hAnsi="Arial"/>
                <w:sz w:val="16"/>
                <w:szCs w:val="16"/>
                <w:color w:val="auto"/>
                <w:highlight w:val="black"/>
                <w:w w:val="95"/>
              </w:rPr>
              <w:t>Votes For</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2"/>
          </w:tcPr>
          <w:p>
            <w:pPr>
              <w:jc w:val="center"/>
              <w:ind w:right="100"/>
              <w:spacing w:after="0"/>
              <w:rPr>
                <w:sz w:val="20"/>
                <w:szCs w:val="20"/>
                <w:color w:val="auto"/>
              </w:rPr>
            </w:pPr>
            <w:r>
              <w:rPr>
                <w:rFonts w:ascii="Arial" w:cs="Arial" w:eastAsia="Arial" w:hAnsi="Arial"/>
                <w:sz w:val="16"/>
                <w:szCs w:val="16"/>
                <w:color w:val="auto"/>
                <w:highlight w:val="black"/>
                <w:w w:val="97"/>
              </w:rPr>
              <w:t>Votes Against</w:t>
            </w:r>
          </w:p>
        </w:tc>
        <w:tc>
          <w:tcPr>
            <w:tcW w:w="2820" w:type="dxa"/>
            <w:vAlign w:val="bottom"/>
            <w:gridSpan w:val="3"/>
          </w:tcPr>
          <w:p>
            <w:pPr>
              <w:jc w:val="center"/>
              <w:ind w:right="80"/>
              <w:spacing w:after="0"/>
              <w:rPr>
                <w:sz w:val="20"/>
                <w:szCs w:val="20"/>
                <w:color w:val="auto"/>
              </w:rPr>
            </w:pPr>
            <w:r>
              <w:rPr>
                <w:rFonts w:ascii="Arial" w:cs="Arial" w:eastAsia="Arial" w:hAnsi="Arial"/>
                <w:sz w:val="16"/>
                <w:szCs w:val="16"/>
                <w:color w:val="auto"/>
                <w:highlight w:val="black"/>
                <w:w w:val="98"/>
              </w:rPr>
              <w:t>Abstained</w:t>
            </w:r>
          </w:p>
        </w:tc>
        <w:tc>
          <w:tcPr>
            <w:tcW w:w="2780" w:type="dxa"/>
            <w:vAlign w:val="bottom"/>
            <w:gridSpan w:val="2"/>
          </w:tcPr>
          <w:p>
            <w:pPr>
              <w:jc w:val="center"/>
              <w:ind w:right="60"/>
              <w:spacing w:after="0"/>
              <w:rPr>
                <w:sz w:val="20"/>
                <w:szCs w:val="20"/>
                <w:color w:val="auto"/>
              </w:rPr>
            </w:pPr>
            <w:r>
              <w:rPr>
                <w:rFonts w:ascii="Arial" w:cs="Arial" w:eastAsia="Arial" w:hAnsi="Arial"/>
                <w:sz w:val="16"/>
                <w:szCs w:val="16"/>
                <w:color w:val="auto"/>
                <w:highlight w:val="black"/>
                <w:w w:val="97"/>
              </w:rPr>
              <w:t>Broker Non-Votes</w:t>
            </w:r>
          </w:p>
        </w:tc>
      </w:tr>
      <w:tr>
        <w:trPr>
          <w:trHeight w:val="21"/>
        </w:trPr>
        <w:tc>
          <w:tcPr>
            <w:tcW w:w="2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7"/>
        </w:trPr>
        <w:tc>
          <w:tcPr>
            <w:tcW w:w="22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6"/>
                <w:szCs w:val="16"/>
                <w:color w:val="auto"/>
              </w:rPr>
              <w:t>303,474,350</w:t>
            </w:r>
          </w:p>
        </w:tc>
        <w:tc>
          <w:tcPr>
            <w:tcW w:w="100" w:type="dxa"/>
            <w:vAlign w:val="bottom"/>
            <w:tcBorders>
              <w:bottom w:val="single" w:sz="8" w:color="CCEEFF"/>
            </w:tcBorders>
            <w:shd w:val="clear" w:color="auto" w:fill="CCEEFF"/>
          </w:tcPr>
          <w:p>
            <w:pPr>
              <w:spacing w:after="0"/>
              <w:rPr>
                <w:sz w:val="18"/>
                <w:szCs w:val="18"/>
                <w:color w:val="auto"/>
              </w:rPr>
            </w:pPr>
          </w:p>
        </w:tc>
        <w:tc>
          <w:tcPr>
            <w:tcW w:w="3220" w:type="dxa"/>
            <w:vAlign w:val="bottom"/>
            <w:tcBorders>
              <w:bottom w:val="single" w:sz="8" w:color="CCEEFF"/>
            </w:tcBorders>
            <w:gridSpan w:val="4"/>
            <w:shd w:val="clear" w:color="auto" w:fill="CCEEFF"/>
          </w:tcPr>
          <w:p>
            <w:pPr>
              <w:jc w:val="right"/>
              <w:ind w:right="881"/>
              <w:spacing w:after="0"/>
              <w:rPr>
                <w:sz w:val="20"/>
                <w:szCs w:val="20"/>
                <w:color w:val="auto"/>
              </w:rPr>
            </w:pPr>
            <w:r>
              <w:rPr>
                <w:rFonts w:ascii="Arial" w:cs="Arial" w:eastAsia="Arial" w:hAnsi="Arial"/>
                <w:sz w:val="16"/>
                <w:szCs w:val="16"/>
                <w:color w:val="auto"/>
              </w:rPr>
              <w:t>18,783,302</w:t>
            </w:r>
          </w:p>
        </w:tc>
        <w:tc>
          <w:tcPr>
            <w:tcW w:w="100" w:type="dxa"/>
            <w:vAlign w:val="bottom"/>
            <w:tcBorders>
              <w:bottom w:val="single" w:sz="8" w:color="CCEEFF"/>
            </w:tcBorders>
            <w:shd w:val="clear" w:color="auto" w:fill="CCEEFF"/>
          </w:tcPr>
          <w:p>
            <w:pPr>
              <w:spacing w:after="0"/>
              <w:rPr>
                <w:sz w:val="18"/>
                <w:szCs w:val="18"/>
                <w:color w:val="auto"/>
              </w:rPr>
            </w:pPr>
          </w:p>
        </w:tc>
        <w:tc>
          <w:tcPr>
            <w:tcW w:w="2720" w:type="dxa"/>
            <w:vAlign w:val="bottom"/>
            <w:tcBorders>
              <w:bottom w:val="single" w:sz="8" w:color="CCEEFF"/>
            </w:tcBorders>
            <w:gridSpan w:val="2"/>
            <w:shd w:val="clear" w:color="auto" w:fill="CCEEFF"/>
          </w:tcPr>
          <w:p>
            <w:pPr>
              <w:jc w:val="right"/>
              <w:ind w:right="1120"/>
              <w:spacing w:after="0"/>
              <w:rPr>
                <w:sz w:val="20"/>
                <w:szCs w:val="20"/>
                <w:color w:val="auto"/>
              </w:rPr>
            </w:pPr>
            <w:r>
              <w:rPr>
                <w:rFonts w:ascii="Arial" w:cs="Arial" w:eastAsia="Arial" w:hAnsi="Arial"/>
                <w:sz w:val="16"/>
                <w:szCs w:val="16"/>
                <w:color w:val="auto"/>
              </w:rPr>
              <w:t>33,065</w:t>
            </w:r>
          </w:p>
        </w:tc>
        <w:tc>
          <w:tcPr>
            <w:tcW w:w="100" w:type="dxa"/>
            <w:vAlign w:val="bottom"/>
            <w:tcBorders>
              <w:bottom w:val="single" w:sz="8" w:color="CCEEFF"/>
            </w:tcBorders>
            <w:shd w:val="clear" w:color="auto" w:fill="CCEEFF"/>
          </w:tcPr>
          <w:p>
            <w:pPr>
              <w:spacing w:after="0"/>
              <w:rPr>
                <w:sz w:val="18"/>
                <w:szCs w:val="18"/>
                <w:color w:val="auto"/>
              </w:rPr>
            </w:pPr>
          </w:p>
        </w:tc>
        <w:tc>
          <w:tcPr>
            <w:tcW w:w="2720" w:type="dxa"/>
            <w:vAlign w:val="bottom"/>
            <w:tcBorders>
              <w:bottom w:val="single" w:sz="8" w:color="CCEEFF"/>
              <w:right w:val="single" w:sz="8" w:color="CCEEFF"/>
            </w:tcBorders>
            <w:shd w:val="clear" w:color="auto" w:fill="CCEEFF"/>
          </w:tcPr>
          <w:p>
            <w:pPr>
              <w:jc w:val="right"/>
              <w:ind w:right="921"/>
              <w:spacing w:after="0"/>
              <w:rPr>
                <w:sz w:val="20"/>
                <w:szCs w:val="20"/>
                <w:color w:val="auto"/>
              </w:rPr>
            </w:pPr>
            <w:r>
              <w:rPr>
                <w:rFonts w:ascii="Arial" w:cs="Arial" w:eastAsia="Arial" w:hAnsi="Arial"/>
                <w:sz w:val="16"/>
                <w:szCs w:val="16"/>
                <w:color w:val="auto"/>
              </w:rPr>
              <w:t>6,336,379</w:t>
            </w:r>
          </w:p>
        </w:tc>
        <w:tc>
          <w:tcPr>
            <w:tcW w:w="60" w:type="dxa"/>
            <w:vAlign w:val="bottom"/>
          </w:tcPr>
          <w:p>
            <w:pPr>
              <w:spacing w:after="0"/>
              <w:rPr>
                <w:sz w:val="18"/>
                <w:szCs w:val="18"/>
                <w:color w:val="auto"/>
              </w:rPr>
            </w:pPr>
          </w:p>
        </w:tc>
      </w:tr>
      <w:tr>
        <w:trPr>
          <w:trHeight w:val="550"/>
        </w:trPr>
        <w:tc>
          <w:tcPr>
            <w:tcW w:w="5640" w:type="dxa"/>
            <w:vAlign w:val="bottom"/>
            <w:gridSpan w:val="7"/>
          </w:tcPr>
          <w:p>
            <w:pPr>
              <w:spacing w:after="0"/>
              <w:rPr>
                <w:sz w:val="20"/>
                <w:szCs w:val="20"/>
                <w:color w:val="auto"/>
              </w:rPr>
            </w:pPr>
            <w:r>
              <w:rPr>
                <w:rFonts w:ascii="Arial" w:cs="Arial" w:eastAsia="Arial" w:hAnsi="Arial"/>
                <w:sz w:val="17"/>
                <w:szCs w:val="17"/>
                <w:color w:val="auto"/>
              </w:rPr>
              <w:t>Item 9.01 Financial Statements and Exhibits.</w:t>
            </w: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13"/>
        </w:trPr>
        <w:tc>
          <w:tcPr>
            <w:tcW w:w="2320" w:type="dxa"/>
            <w:vAlign w:val="bottom"/>
            <w:gridSpan w:val="2"/>
          </w:tcPr>
          <w:p>
            <w:pPr>
              <w:ind w:left="20"/>
              <w:spacing w:after="0"/>
              <w:rPr>
                <w:sz w:val="20"/>
                <w:szCs w:val="20"/>
                <w:color w:val="auto"/>
              </w:rPr>
            </w:pPr>
            <w:r>
              <w:rPr>
                <w:rFonts w:ascii="Arial" w:cs="Arial" w:eastAsia="Arial" w:hAnsi="Arial"/>
                <w:sz w:val="17"/>
                <w:szCs w:val="17"/>
                <w:color w:val="auto"/>
                <w:highlight w:val="black"/>
              </w:rPr>
              <w:t>Exhibit No.</w:t>
            </w:r>
          </w:p>
        </w:tc>
        <w:tc>
          <w:tcPr>
            <w:tcW w:w="20" w:type="dxa"/>
            <w:vAlign w:val="bottom"/>
          </w:tcPr>
          <w:p>
            <w:pPr>
              <w:spacing w:after="0"/>
              <w:rPr>
                <w:sz w:val="24"/>
                <w:szCs w:val="24"/>
                <w:color w:val="auto"/>
              </w:rPr>
            </w:pPr>
          </w:p>
        </w:tc>
        <w:tc>
          <w:tcPr>
            <w:tcW w:w="3300" w:type="dxa"/>
            <w:vAlign w:val="bottom"/>
            <w:gridSpan w:val="4"/>
          </w:tcPr>
          <w:p>
            <w:pPr>
              <w:spacing w:after="0"/>
              <w:rPr>
                <w:sz w:val="20"/>
                <w:szCs w:val="20"/>
                <w:color w:val="auto"/>
              </w:rPr>
            </w:pPr>
            <w:r>
              <w:rPr>
                <w:rFonts w:ascii="Arial" w:cs="Arial" w:eastAsia="Arial" w:hAnsi="Arial"/>
                <w:sz w:val="17"/>
                <w:szCs w:val="17"/>
                <w:color w:val="auto"/>
                <w:highlight w:val="black"/>
              </w:rPr>
              <w:t>Description</w:t>
            </w: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
        </w:trPr>
        <w:tc>
          <w:tcPr>
            <w:tcW w:w="2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gridSpan w:val="5"/>
          </w:tcPr>
          <w:p>
            <w:pPr>
              <w:spacing w:after="0"/>
              <w:rPr>
                <w:sz w:val="2"/>
                <w:szCs w:val="2"/>
                <w:color w:val="auto"/>
              </w:rPr>
            </w:pPr>
          </w:p>
        </w:tc>
        <w:tc>
          <w:tcPr>
            <w:tcW w:w="422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10"/>
        </w:trPr>
        <w:tc>
          <w:tcPr>
            <w:tcW w:w="2220" w:type="dxa"/>
            <w:vAlign w:val="bottom"/>
          </w:tcPr>
          <w:p>
            <w:pPr>
              <w:ind w:left="20"/>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18"/>
                <w:szCs w:val="18"/>
                <w:color w:val="auto"/>
              </w:rPr>
            </w:pPr>
          </w:p>
        </w:tc>
        <w:tc>
          <w:tcPr>
            <w:tcW w:w="20" w:type="dxa"/>
            <w:vAlign w:val="bottom"/>
            <w:tcBorders>
              <w:bottom w:val="single" w:sz="8" w:color="0000FF"/>
            </w:tcBorders>
          </w:tcPr>
          <w:p>
            <w:pPr>
              <w:spacing w:after="0"/>
              <w:rPr>
                <w:sz w:val="18"/>
                <w:szCs w:val="18"/>
                <w:color w:val="auto"/>
              </w:rPr>
            </w:pPr>
          </w:p>
        </w:tc>
        <w:tc>
          <w:tcPr>
            <w:tcW w:w="8840" w:type="dxa"/>
            <w:vAlign w:val="bottom"/>
            <w:tcBorders>
              <w:bottom w:val="single" w:sz="8" w:color="0000FF"/>
            </w:tcBorders>
            <w:gridSpan w:val="8"/>
          </w:tcPr>
          <w:p>
            <w:pPr>
              <w:spacing w:after="0" w:line="189" w:lineRule="exact"/>
              <w:rPr>
                <w:rFonts w:ascii="Arial" w:cs="Arial" w:eastAsia="Arial" w:hAnsi="Arial"/>
                <w:sz w:val="17"/>
                <w:szCs w:val="17"/>
                <w:color w:val="0000FF"/>
              </w:rPr>
            </w:pPr>
            <w:hyperlink r:id="rId20">
              <w:r>
                <w:rPr>
                  <w:rFonts w:ascii="Arial" w:cs="Arial" w:eastAsia="Arial" w:hAnsi="Arial"/>
                  <w:sz w:val="17"/>
                  <w:szCs w:val="17"/>
                  <w:color w:val="0000FF"/>
                </w:rPr>
                <w:t>Amended and Restated 2017 Equity Plan (incorporated by reference to Appendix B to the Company's Definitive</w:t>
              </w:r>
            </w:hyperlink>
          </w:p>
        </w:tc>
        <w:tc>
          <w:tcPr>
            <w:tcW w:w="60" w:type="dxa"/>
            <w:vAlign w:val="bottom"/>
          </w:tcPr>
          <w:p>
            <w:pPr>
              <w:spacing w:after="0"/>
              <w:rPr>
                <w:sz w:val="18"/>
                <w:szCs w:val="18"/>
                <w:color w:val="auto"/>
              </w:rPr>
            </w:pPr>
          </w:p>
        </w:tc>
      </w:tr>
      <w:tr>
        <w:trPr>
          <w:trHeight w:val="196"/>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20" w:type="dxa"/>
            <w:vAlign w:val="bottom"/>
            <w:tcBorders>
              <w:bottom w:val="single" w:sz="8" w:color="0000FF"/>
            </w:tcBorders>
            <w:gridSpan w:val="5"/>
          </w:tcPr>
          <w:p>
            <w:pPr>
              <w:spacing w:after="0" w:line="176" w:lineRule="exact"/>
              <w:rPr>
                <w:rFonts w:ascii="Arial" w:cs="Arial" w:eastAsia="Arial" w:hAnsi="Arial"/>
                <w:sz w:val="17"/>
                <w:szCs w:val="17"/>
                <w:color w:val="0000FF"/>
              </w:rPr>
            </w:pPr>
            <w:hyperlink r:id="rId20">
              <w:r>
                <w:rPr>
                  <w:rFonts w:ascii="Arial" w:cs="Arial" w:eastAsia="Arial" w:hAnsi="Arial"/>
                  <w:sz w:val="17"/>
                  <w:szCs w:val="17"/>
                  <w:color w:val="0000FF"/>
                </w:rPr>
                <w:t>Proxy Statement on Schedule 14A, filed on April 22, 2026)</w:t>
              </w:r>
            </w:hyperlink>
          </w:p>
        </w:tc>
        <w:tc>
          <w:tcPr>
            <w:tcW w:w="1500" w:type="dxa"/>
            <w:vAlign w:val="bottom"/>
            <w:gridSpan w:val="2"/>
          </w:tcPr>
          <w:p>
            <w:pPr>
              <w:spacing w:after="0"/>
              <w:rPr>
                <w:sz w:val="17"/>
                <w:szCs w:val="17"/>
                <w:color w:val="auto"/>
              </w:rPr>
            </w:pPr>
          </w:p>
        </w:tc>
        <w:tc>
          <w:tcPr>
            <w:tcW w:w="2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013"/>
        </w:trPr>
        <w:tc>
          <w:tcPr>
            <w:tcW w:w="2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6"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7"/>
          <w:szCs w:val="17"/>
          <w:color w:val="auto"/>
          <w:highlight w:val="black"/>
        </w:rPr>
        <w:t>SIGNATURES</w:t>
      </w:r>
    </w:p>
    <w:p>
      <w:pPr>
        <w:spacing w:after="0" w:line="271"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5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4940" w:type="dxa"/>
            <w:vAlign w:val="bottom"/>
          </w:tcPr>
          <w:p>
            <w:pPr>
              <w:ind w:left="1340"/>
              <w:spacing w:after="0"/>
              <w:rPr>
                <w:sz w:val="20"/>
                <w:szCs w:val="20"/>
                <w:color w:val="auto"/>
              </w:rPr>
            </w:pPr>
            <w:r>
              <w:rPr>
                <w:rFonts w:ascii="Arial" w:cs="Arial" w:eastAsia="Arial" w:hAnsi="Arial"/>
                <w:sz w:val="17"/>
                <w:szCs w:val="17"/>
                <w:color w:val="auto"/>
                <w:highlight w:val="black"/>
              </w:rPr>
              <w:t>Appian Corporation</w:t>
            </w:r>
          </w:p>
        </w:tc>
      </w:tr>
      <w:tr>
        <w:trPr>
          <w:trHeight w:val="499"/>
        </w:trPr>
        <w:tc>
          <w:tcPr>
            <w:tcW w:w="3520" w:type="dxa"/>
            <w:vAlign w:val="bottom"/>
          </w:tcPr>
          <w:p>
            <w:pPr>
              <w:spacing w:after="0"/>
              <w:rPr>
                <w:sz w:val="20"/>
                <w:szCs w:val="20"/>
                <w:color w:val="auto"/>
              </w:rPr>
            </w:pPr>
            <w:r>
              <w:rPr>
                <w:rFonts w:ascii="Arial" w:cs="Arial" w:eastAsia="Arial" w:hAnsi="Arial"/>
                <w:sz w:val="17"/>
                <w:szCs w:val="17"/>
                <w:color w:val="auto"/>
              </w:rPr>
              <w:t>Date: June 8, 2026</w:t>
            </w:r>
          </w:p>
        </w:tc>
        <w:tc>
          <w:tcPr>
            <w:tcW w:w="2740" w:type="dxa"/>
            <w:vAlign w:val="bottom"/>
          </w:tcPr>
          <w:p>
            <w:pPr>
              <w:ind w:left="2000"/>
              <w:spacing w:after="0"/>
              <w:rPr>
                <w:sz w:val="20"/>
                <w:szCs w:val="20"/>
                <w:color w:val="auto"/>
              </w:rPr>
            </w:pPr>
            <w:r>
              <w:rPr>
                <w:rFonts w:ascii="Arial" w:cs="Arial" w:eastAsia="Arial" w:hAnsi="Arial"/>
                <w:sz w:val="17"/>
                <w:szCs w:val="17"/>
                <w:color w:val="auto"/>
              </w:rPr>
              <w:t>By:</w:t>
            </w:r>
          </w:p>
        </w:tc>
        <w:tc>
          <w:tcPr>
            <w:tcW w:w="4940" w:type="dxa"/>
            <w:vAlign w:val="bottom"/>
          </w:tcPr>
          <w:p>
            <w:pPr>
              <w:jc w:val="center"/>
              <w:spacing w:after="0"/>
              <w:rPr>
                <w:sz w:val="20"/>
                <w:szCs w:val="20"/>
                <w:color w:val="auto"/>
              </w:rPr>
            </w:pPr>
            <w:r>
              <w:rPr>
                <w:rFonts w:ascii="Arial" w:cs="Arial" w:eastAsia="Arial" w:hAnsi="Arial"/>
                <w:sz w:val="17"/>
                <w:szCs w:val="17"/>
                <w:color w:val="auto"/>
              </w:rPr>
              <w:t>/s/ Srdjan Tanjga</w:t>
            </w:r>
          </w:p>
        </w:tc>
      </w:tr>
      <w:tr>
        <w:trPr>
          <w:trHeight w:val="30"/>
        </w:trPr>
        <w:tc>
          <w:tcPr>
            <w:tcW w:w="35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r>
      <w:tr>
        <w:trPr>
          <w:trHeight w:val="233"/>
        </w:trPr>
        <w:tc>
          <w:tcPr>
            <w:tcW w:w="35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7"/>
                <w:szCs w:val="17"/>
                <w:color w:val="auto"/>
                <w:highlight w:val="black"/>
              </w:rPr>
              <w:t>Srdjan Tanjga</w:t>
            </w:r>
          </w:p>
        </w:tc>
      </w:tr>
      <w:tr>
        <w:trPr>
          <w:trHeight w:val="270"/>
        </w:trPr>
        <w:tc>
          <w:tcPr>
            <w:tcW w:w="35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4940" w:type="dxa"/>
            <w:vAlign w:val="bottom"/>
          </w:tcPr>
          <w:p>
            <w:pPr>
              <w:jc w:val="center"/>
              <w:spacing w:after="0"/>
              <w:rPr>
                <w:sz w:val="20"/>
                <w:szCs w:val="20"/>
                <w:color w:val="auto"/>
              </w:rPr>
            </w:pPr>
            <w:r>
              <w:rPr>
                <w:rFonts w:ascii="Arial" w:cs="Arial" w:eastAsia="Arial" w:hAnsi="Arial"/>
                <w:sz w:val="17"/>
                <w:szCs w:val="17"/>
                <w:color w:val="auto"/>
                <w:highlight w:val="black"/>
              </w:rPr>
              <w:t>Chief Financial Officer</w:t>
            </w:r>
          </w:p>
        </w:tc>
      </w:tr>
    </w:tbl>
    <w:p>
      <w:pPr>
        <w:spacing w:after="0" w:line="1" w:lineRule="exact"/>
        <w:rPr>
          <w:sz w:val="20"/>
          <w:szCs w:val="20"/>
          <w:color w:val="auto"/>
        </w:rPr>
      </w:pPr>
    </w:p>
    <w:sectPr>
      <w:pgSz w:w="11900" w:h="16838" w:orient="portrait"/>
      <w:cols w:equalWidth="0" w:num="1">
        <w:col w:w="11220"/>
      </w:cols>
      <w:pgMar w:left="320" w:top="92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0" Type="http://schemas.openxmlformats.org/officeDocument/2006/relationships/hyperlink" Target="https://www.sec.gov/ix?doc=/Archives/edgar/data/0001441683/000144168326000021/appn-20260421.htm#i411b6316cda84289a8bab4376aef7522_8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2026-06-08T15:16:35Z</dcterms:created>
  <dcterms:modified xsi:type="dcterms:W3CDTF">2026-06-08T15:16:35Z</dcterms:modified>
</cp:coreProperties>
</file>